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rPr>
      </w:pPr>
    </w:p>
    <w:p>
      <w:pPr>
        <w:jc w:val="center"/>
        <w:rPr>
          <w:rFonts w:hint="eastAsia" w:ascii="方正小标宋简体" w:hAnsi="方正小标宋简体" w:eastAsia="方正小标宋简体" w:cs="方正小标宋简体"/>
          <w:sz w:val="44"/>
          <w:szCs w:val="44"/>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广西</w:t>
      </w:r>
      <w:r>
        <w:rPr>
          <w:rFonts w:hint="eastAsia" w:ascii="方正小标宋简体" w:hAnsi="方正小标宋简体" w:eastAsia="方正小标宋简体" w:cs="方正小标宋简体"/>
          <w:sz w:val="44"/>
          <w:szCs w:val="44"/>
          <w:lang w:eastAsia="zh-CN"/>
        </w:rPr>
        <w:t>质量协会</w:t>
      </w:r>
      <w:r>
        <w:rPr>
          <w:rFonts w:hint="eastAsia" w:ascii="方正小标宋简体" w:hAnsi="方正小标宋简体" w:eastAsia="方正小标宋简体" w:cs="方正小标宋简体"/>
          <w:sz w:val="44"/>
          <w:szCs w:val="44"/>
        </w:rPr>
        <w:t>团体标准</w:t>
      </w:r>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《注射用蔗糖》</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送审稿</w:t>
      </w:r>
      <w:r>
        <w:rPr>
          <w:rFonts w:hint="eastAsia" w:ascii="仿宋_GB2312" w:hAnsi="仿宋_GB2312" w:eastAsia="仿宋_GB2312" w:cs="仿宋_GB2312"/>
          <w:sz w:val="32"/>
          <w:szCs w:val="32"/>
        </w:rPr>
        <w:t>）</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编制说明</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4"/>
        <w:ind w:firstLine="0" w:firstLineChars="0"/>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广西壮族自治区药品检验研究院</w:t>
      </w:r>
    </w:p>
    <w:p>
      <w:pPr>
        <w:pStyle w:val="4"/>
        <w:ind w:firstLine="0" w:firstLineChars="0"/>
        <w:jc w:val="center"/>
        <w:rPr>
          <w:rFonts w:hint="eastAsia" w:ascii="黑体" w:hAnsi="黑体" w:eastAsia="黑体" w:cs="黑体"/>
          <w:sz w:val="32"/>
          <w:szCs w:val="32"/>
          <w:lang w:val="en-US" w:eastAsia="zh-CN"/>
        </w:rPr>
        <w:sectPr>
          <w:pgSz w:w="11906" w:h="16838"/>
          <w:pgMar w:top="1440" w:right="1800" w:bottom="1440" w:left="1800" w:header="851" w:footer="992" w:gutter="0"/>
          <w:pgNumType w:fmt="numberInDash"/>
          <w:cols w:space="720" w:num="1"/>
          <w:docGrid w:type="lines" w:linePitch="312" w:charSpace="0"/>
        </w:sectPr>
      </w:pPr>
      <w:r>
        <w:rPr>
          <w:rFonts w:hint="eastAsia" w:ascii="黑体" w:hAnsi="黑体" w:eastAsia="黑体" w:cs="黑体"/>
          <w:sz w:val="32"/>
          <w:szCs w:val="32"/>
        </w:rPr>
        <w:t>202</w:t>
      </w:r>
      <w:r>
        <w:rPr>
          <w:rFonts w:hint="eastAsia" w:ascii="黑体" w:hAnsi="黑体" w:eastAsia="黑体" w:cs="黑体"/>
          <w:sz w:val="32"/>
          <w:szCs w:val="32"/>
          <w:lang w:val="en-US" w:eastAsia="zh-CN"/>
        </w:rPr>
        <w:t>4</w:t>
      </w:r>
      <w:r>
        <w:rPr>
          <w:rFonts w:hint="eastAsia" w:ascii="黑体" w:hAnsi="黑体" w:eastAsia="黑体" w:cs="黑体"/>
          <w:sz w:val="32"/>
          <w:szCs w:val="32"/>
          <w:highlight w:val="none"/>
        </w:rPr>
        <w:t>.</w:t>
      </w:r>
      <w:r>
        <w:rPr>
          <w:rFonts w:hint="eastAsia" w:ascii="黑体" w:hAnsi="黑体" w:eastAsia="黑体" w:cs="黑体"/>
          <w:sz w:val="32"/>
          <w:szCs w:val="32"/>
          <w:highlight w:val="none"/>
          <w:lang w:val="en-US" w:eastAsia="zh-CN"/>
        </w:rPr>
        <w:t>5</w:t>
      </w:r>
    </w:p>
    <w:p>
      <w:pPr>
        <w:jc w:val="center"/>
        <w:outlineLvl w:val="0"/>
        <w:rPr>
          <w:rFonts w:hint="eastAsia" w:cs="Times New Roman"/>
          <w:b/>
          <w:sz w:val="32"/>
          <w:szCs w:val="32"/>
        </w:rPr>
      </w:pPr>
      <w:r>
        <w:rPr>
          <w:rFonts w:hint="eastAsia" w:cs="Times New Roman"/>
          <w:b/>
          <w:sz w:val="32"/>
          <w:szCs w:val="32"/>
        </w:rPr>
        <w:t>注射用蔗糖（拟定标准）</w:t>
      </w:r>
    </w:p>
    <w:p>
      <w:pPr>
        <w:snapToGrid w:val="0"/>
        <w:spacing w:line="360" w:lineRule="auto"/>
        <w:jc w:val="center"/>
        <w:rPr>
          <w:rFonts w:ascii="Times New Roman" w:hAnsi="Times New Roman" w:cs="Times New Roman"/>
          <w:b/>
          <w:bCs/>
          <w:sz w:val="24"/>
          <w:szCs w:val="24"/>
        </w:rPr>
      </w:pPr>
      <w:r>
        <w:rPr>
          <w:rFonts w:hint="eastAsia" w:ascii="Times New Roman" w:hAnsi="Times New Roman" w:cs="Times New Roman"/>
          <w:b/>
          <w:bCs/>
          <w:sz w:val="24"/>
          <w:szCs w:val="24"/>
        </w:rPr>
        <w:t>Zhusheyongzhetang</w:t>
      </w:r>
    </w:p>
    <w:p>
      <w:pPr>
        <w:snapToGrid w:val="0"/>
        <w:spacing w:line="360" w:lineRule="auto"/>
        <w:jc w:val="both"/>
        <w:rPr>
          <w:rFonts w:ascii="Times New Roman" w:hAnsi="Times New Roman" w:cs="Times New Roman"/>
          <w:b/>
          <w:bCs/>
          <w:sz w:val="24"/>
          <w:szCs w:val="24"/>
        </w:rPr>
      </w:pPr>
    </w:p>
    <w:p>
      <w:pPr>
        <w:snapToGrid w:val="0"/>
        <w:spacing w:line="360" w:lineRule="auto"/>
        <w:ind w:firstLine="482" w:firstLineChars="200"/>
        <w:jc w:val="both"/>
        <w:rPr>
          <w:rFonts w:hint="eastAsia" w:ascii="Times New Roman" w:hAnsi="Times New Roman" w:cs="Times New Roman"/>
          <w:bCs/>
          <w:sz w:val="24"/>
          <w:szCs w:val="24"/>
        </w:rPr>
      </w:pPr>
      <w:r>
        <w:rPr>
          <w:rFonts w:hint="eastAsia" w:ascii="Times New Roman" w:hAnsi="Times New Roman" w:cs="Times New Roman"/>
          <w:b/>
          <w:bCs/>
          <w:sz w:val="24"/>
          <w:szCs w:val="24"/>
        </w:rPr>
        <w:t>【性状】</w:t>
      </w:r>
      <w:r>
        <w:rPr>
          <w:rFonts w:hint="eastAsia" w:ascii="Times New Roman" w:hAnsi="Times New Roman" w:cs="Times New Roman"/>
          <w:bCs/>
          <w:sz w:val="24"/>
          <w:szCs w:val="24"/>
        </w:rPr>
        <w:t>本品为无色结晶或白色结晶性的松散粉末。</w:t>
      </w:r>
    </w:p>
    <w:p>
      <w:pPr>
        <w:snapToGrid w:val="0"/>
        <w:spacing w:line="360" w:lineRule="auto"/>
        <w:ind w:firstLine="480" w:firstLineChars="200"/>
        <w:jc w:val="both"/>
        <w:rPr>
          <w:rFonts w:ascii="Times New Roman" w:hAnsi="Times New Roman" w:cs="Times New Roman"/>
          <w:bCs/>
          <w:sz w:val="24"/>
          <w:szCs w:val="24"/>
        </w:rPr>
      </w:pPr>
      <w:r>
        <w:rPr>
          <w:rFonts w:hint="eastAsia" w:ascii="Times New Roman" w:hAnsi="Times New Roman" w:cs="Times New Roman"/>
          <w:bCs/>
          <w:sz w:val="24"/>
          <w:szCs w:val="24"/>
        </w:rPr>
        <w:t>比旋度 取本品，精密称定，加水溶解并定量稀释制成每1ml中约含0.1g的溶液，依法测定（中国药典2020年版四部通则 0621），比旋度为﹢66.3°至﹢67.0°。</w:t>
      </w:r>
    </w:p>
    <w:p>
      <w:pPr>
        <w:snapToGrid w:val="0"/>
        <w:spacing w:line="360" w:lineRule="auto"/>
        <w:ind w:firstLine="482" w:firstLineChars="200"/>
        <w:jc w:val="both"/>
        <w:rPr>
          <w:rFonts w:hint="eastAsia" w:ascii="Times New Roman" w:hAnsi="Times New Roman" w:cs="Times New Roman"/>
          <w:sz w:val="24"/>
          <w:szCs w:val="24"/>
        </w:rPr>
      </w:pPr>
      <w:r>
        <w:rPr>
          <w:rFonts w:hint="eastAsia" w:ascii="Times New Roman" w:hAnsi="Times New Roman" w:cs="Times New Roman"/>
          <w:b/>
          <w:bCs/>
          <w:sz w:val="24"/>
          <w:szCs w:val="24"/>
        </w:rPr>
        <w:t>【鉴别】</w:t>
      </w:r>
      <w:r>
        <w:rPr>
          <w:rFonts w:hint="eastAsia" w:ascii="Times New Roman" w:hAnsi="Times New Roman" w:cs="Times New Roman"/>
          <w:sz w:val="24"/>
          <w:szCs w:val="24"/>
        </w:rPr>
        <w:t>（1）取本品，加0.05mol/L硫酸溶液，煮沸后，用0.1mol/L氢氧化钠溶液中和，再加碱性酒石酸铜试液，加热即生成氧化亚铜的红色沉淀。</w:t>
      </w:r>
    </w:p>
    <w:p>
      <w:pPr>
        <w:snapToGrid w:val="0"/>
        <w:spacing w:line="360" w:lineRule="auto"/>
        <w:ind w:firstLine="480" w:firstLineChars="200"/>
        <w:jc w:val="both"/>
        <w:rPr>
          <w:rFonts w:hint="eastAsia" w:ascii="Times New Roman" w:hAnsi="Times New Roman" w:cs="Times New Roman"/>
          <w:bCs/>
          <w:sz w:val="24"/>
          <w:szCs w:val="24"/>
        </w:rPr>
      </w:pPr>
      <w:r>
        <w:rPr>
          <w:rFonts w:hint="eastAsia" w:ascii="Times New Roman" w:hAnsi="Times New Roman" w:cs="Times New Roman"/>
          <w:bCs/>
          <w:sz w:val="24"/>
          <w:szCs w:val="24"/>
        </w:rPr>
        <w:t>（2）本品的红外光吸收图谱应与蔗糖对照品的图谱一致（中国药典2020年版四部通则 0402）</w:t>
      </w:r>
      <w:r>
        <w:rPr>
          <w:rFonts w:hint="eastAsia" w:ascii="Times New Roman" w:hAnsi="Times New Roman" w:cs="Times New Roman"/>
          <w:sz w:val="24"/>
          <w:szCs w:val="24"/>
        </w:rPr>
        <w:t>。</w:t>
      </w:r>
    </w:p>
    <w:p>
      <w:pPr>
        <w:snapToGrid w:val="0"/>
        <w:spacing w:line="360" w:lineRule="auto"/>
        <w:ind w:firstLine="482" w:firstLineChars="200"/>
        <w:jc w:val="both"/>
        <w:rPr>
          <w:rFonts w:ascii="Times New Roman" w:hAnsi="Times New Roman" w:cs="Times New Roman"/>
          <w:bCs/>
          <w:sz w:val="24"/>
          <w:szCs w:val="24"/>
        </w:rPr>
      </w:pPr>
      <w:r>
        <w:rPr>
          <w:rFonts w:hint="eastAsia" w:ascii="Times New Roman" w:hAnsi="Times New Roman" w:cs="Times New Roman"/>
          <w:b/>
          <w:bCs/>
          <w:sz w:val="24"/>
          <w:szCs w:val="24"/>
        </w:rPr>
        <w:t>【检查】</w:t>
      </w:r>
    </w:p>
    <w:p>
      <w:pPr>
        <w:snapToGrid w:val="0"/>
        <w:spacing w:line="360" w:lineRule="auto"/>
        <w:ind w:firstLine="482" w:firstLineChars="200"/>
        <w:jc w:val="both"/>
        <w:rPr>
          <w:rFonts w:hint="eastAsia" w:ascii="Times New Roman" w:hAnsi="Times New Roman" w:cs="Times New Roman"/>
          <w:bCs/>
          <w:sz w:val="24"/>
          <w:szCs w:val="24"/>
        </w:rPr>
      </w:pPr>
      <w:r>
        <w:rPr>
          <w:rFonts w:hint="eastAsia" w:ascii="Times New Roman" w:hAnsi="Times New Roman" w:cs="Times New Roman"/>
          <w:b/>
          <w:sz w:val="24"/>
          <w:szCs w:val="24"/>
        </w:rPr>
        <w:t xml:space="preserve">电导率 </w:t>
      </w:r>
      <w:r>
        <w:rPr>
          <w:rFonts w:hint="eastAsia" w:ascii="Times New Roman" w:hAnsi="Times New Roman" w:cs="Times New Roman"/>
          <w:bCs/>
          <w:sz w:val="24"/>
          <w:szCs w:val="24"/>
        </w:rPr>
        <w:t>准确称取本品31.3g，置100ml容量瓶中，用新沸放冷后的去离子水溶解并稀释至刻度，用电导率仪测定该溶液电导率，记录为C</w:t>
      </w:r>
      <w:r>
        <w:rPr>
          <w:rFonts w:hint="eastAsia" w:ascii="Times New Roman" w:hAnsi="Times New Roman" w:cs="Times New Roman"/>
          <w:bCs/>
          <w:sz w:val="24"/>
          <w:szCs w:val="24"/>
          <w:vertAlign w:val="subscript"/>
        </w:rPr>
        <w:t>1</w:t>
      </w:r>
      <w:r>
        <w:rPr>
          <w:rFonts w:hint="eastAsia" w:ascii="Times New Roman" w:hAnsi="Times New Roman" w:cs="Times New Roman"/>
          <w:bCs/>
          <w:sz w:val="24"/>
          <w:szCs w:val="24"/>
        </w:rPr>
        <w:t>，同时测定新沸放冷后的去离子水的电导率，记录为C</w:t>
      </w:r>
      <w:r>
        <w:rPr>
          <w:rFonts w:hint="eastAsia" w:ascii="Times New Roman" w:hAnsi="Times New Roman" w:cs="Times New Roman"/>
          <w:bCs/>
          <w:sz w:val="24"/>
          <w:szCs w:val="24"/>
          <w:vertAlign w:val="subscript"/>
        </w:rPr>
        <w:t>2</w:t>
      </w:r>
      <w:r>
        <w:rPr>
          <w:rFonts w:hint="eastAsia" w:ascii="Times New Roman" w:hAnsi="Times New Roman" w:cs="Times New Roman"/>
          <w:bCs/>
          <w:sz w:val="24"/>
          <w:szCs w:val="24"/>
        </w:rPr>
        <w:t>。采用下列公式计算电导率，20℃下电导率应不得过10</w:t>
      </w:r>
      <w:r>
        <w:rPr>
          <w:rFonts w:hint="default" w:ascii="Times New Roman" w:hAnsi="Times New Roman" w:cs="Times New Roman"/>
          <w:bCs/>
          <w:sz w:val="24"/>
          <w:szCs w:val="24"/>
        </w:rPr>
        <w:t>μs·cm</w:t>
      </w:r>
      <w:r>
        <w:rPr>
          <w:rFonts w:hint="default" w:ascii="Times New Roman" w:hAnsi="Times New Roman" w:cs="Times New Roman"/>
          <w:bCs/>
          <w:sz w:val="24"/>
          <w:szCs w:val="24"/>
          <w:vertAlign w:val="superscript"/>
        </w:rPr>
        <w:t>-1</w:t>
      </w:r>
      <w:r>
        <w:rPr>
          <w:rFonts w:hint="eastAsia" w:ascii="Times New Roman" w:hAnsi="Times New Roman" w:cs="Times New Roman"/>
          <w:bCs/>
          <w:sz w:val="24"/>
          <w:szCs w:val="24"/>
        </w:rPr>
        <w:t>。</w:t>
      </w:r>
    </w:p>
    <w:p>
      <w:pPr>
        <w:snapToGrid w:val="0"/>
        <w:spacing w:line="360" w:lineRule="auto"/>
        <w:ind w:firstLine="480" w:firstLineChars="200"/>
        <w:jc w:val="both"/>
        <w:rPr>
          <w:rFonts w:ascii="Times New Roman" w:hAnsi="Times New Roman" w:cs="Times New Roman"/>
          <w:bCs/>
          <w:sz w:val="24"/>
          <w:szCs w:val="24"/>
        </w:rPr>
      </w:pPr>
      <w:r>
        <w:rPr>
          <w:rFonts w:hint="eastAsia" w:ascii="Times New Roman" w:hAnsi="Times New Roman" w:cs="Times New Roman"/>
          <w:bCs/>
          <w:sz w:val="24"/>
          <w:szCs w:val="24"/>
        </w:rPr>
        <w:t>电导率=</w:t>
      </w:r>
      <w:bookmarkStart w:id="0" w:name="_Hlk161351058"/>
      <w:r>
        <w:rPr>
          <w:rFonts w:hint="eastAsia" w:ascii="Times New Roman" w:hAnsi="Times New Roman" w:cs="Times New Roman"/>
          <w:bCs/>
          <w:sz w:val="24"/>
          <w:szCs w:val="24"/>
        </w:rPr>
        <w:t>C</w:t>
      </w:r>
      <w:r>
        <w:rPr>
          <w:rFonts w:hint="eastAsia" w:ascii="Times New Roman" w:hAnsi="Times New Roman" w:cs="Times New Roman"/>
          <w:bCs/>
          <w:sz w:val="24"/>
          <w:szCs w:val="24"/>
          <w:vertAlign w:val="subscript"/>
        </w:rPr>
        <w:t>1</w:t>
      </w:r>
      <w:r>
        <w:rPr>
          <w:rFonts w:hint="eastAsia" w:ascii="Times New Roman" w:hAnsi="Times New Roman" w:cs="Times New Roman"/>
          <w:bCs/>
          <w:sz w:val="24"/>
          <w:szCs w:val="24"/>
        </w:rPr>
        <w:t>－（0.35×C</w:t>
      </w:r>
      <w:r>
        <w:rPr>
          <w:rFonts w:hint="eastAsia" w:ascii="Times New Roman" w:hAnsi="Times New Roman" w:cs="Times New Roman"/>
          <w:bCs/>
          <w:sz w:val="24"/>
          <w:szCs w:val="24"/>
          <w:vertAlign w:val="subscript"/>
        </w:rPr>
        <w:t>2</w:t>
      </w:r>
      <w:r>
        <w:rPr>
          <w:rFonts w:hint="eastAsia" w:ascii="Times New Roman" w:hAnsi="Times New Roman" w:cs="Times New Roman"/>
          <w:bCs/>
          <w:sz w:val="24"/>
          <w:szCs w:val="24"/>
        </w:rPr>
        <w:t>）</w:t>
      </w:r>
      <w:bookmarkEnd w:id="0"/>
    </w:p>
    <w:p>
      <w:pPr>
        <w:snapToGrid w:val="0"/>
        <w:spacing w:line="360" w:lineRule="auto"/>
        <w:ind w:firstLine="482" w:firstLineChars="200"/>
        <w:jc w:val="both"/>
        <w:rPr>
          <w:rFonts w:hint="eastAsia" w:ascii="Times New Roman" w:hAnsi="Times New Roman" w:cs="Times New Roman"/>
          <w:bCs/>
          <w:sz w:val="24"/>
          <w:szCs w:val="24"/>
        </w:rPr>
      </w:pPr>
      <w:r>
        <w:rPr>
          <w:rFonts w:hint="eastAsia" w:ascii="Times New Roman" w:hAnsi="Times New Roman" w:cs="Times New Roman"/>
          <w:b/>
          <w:bCs/>
          <w:sz w:val="24"/>
          <w:szCs w:val="24"/>
        </w:rPr>
        <w:t xml:space="preserve">溶液的澄清度  </w:t>
      </w:r>
      <w:r>
        <w:rPr>
          <w:rFonts w:hint="eastAsia" w:ascii="Times New Roman" w:hAnsi="Times New Roman" w:cs="Times New Roman"/>
          <w:sz w:val="24"/>
          <w:szCs w:val="24"/>
        </w:rPr>
        <w:t>取本品适量，加水溶解并稀释制成1ml中约含500mg的溶液，依法检查（中国药典2020年版四部通则0902 第一法），溶液应澄清；如显浑浊，与1号浊度标准液（中国药典2020年版四部通则090</w:t>
      </w:r>
      <w:r>
        <w:rPr>
          <w:rFonts w:ascii="Times New Roman" w:hAnsi="Times New Roman" w:cs="Times New Roman"/>
          <w:sz w:val="24"/>
          <w:szCs w:val="24"/>
        </w:rPr>
        <w:t>1</w:t>
      </w:r>
      <w:r>
        <w:rPr>
          <w:rFonts w:hint="eastAsia" w:ascii="Times New Roman" w:hAnsi="Times New Roman" w:cs="Times New Roman"/>
          <w:sz w:val="24"/>
          <w:szCs w:val="24"/>
        </w:rPr>
        <w:t xml:space="preserve"> 第一法）比较，不得更浓</w:t>
      </w:r>
      <w:r>
        <w:rPr>
          <w:rFonts w:hint="eastAsia" w:ascii="Times New Roman" w:hAnsi="Times New Roman" w:cs="Times New Roman"/>
          <w:bCs/>
          <w:sz w:val="24"/>
          <w:szCs w:val="24"/>
        </w:rPr>
        <w:t>。</w:t>
      </w:r>
    </w:p>
    <w:p>
      <w:pPr>
        <w:snapToGrid w:val="0"/>
        <w:spacing w:line="360" w:lineRule="auto"/>
        <w:ind w:firstLine="482" w:firstLineChars="200"/>
        <w:jc w:val="both"/>
        <w:rPr>
          <w:rFonts w:hint="eastAsia" w:ascii="Times New Roman" w:hAnsi="Times New Roman" w:cs="Times New Roman"/>
          <w:sz w:val="24"/>
          <w:szCs w:val="24"/>
        </w:rPr>
      </w:pPr>
      <w:r>
        <w:rPr>
          <w:rFonts w:hint="eastAsia" w:ascii="Times New Roman" w:hAnsi="Times New Roman" w:cs="Times New Roman"/>
          <w:b/>
          <w:bCs/>
          <w:sz w:val="24"/>
          <w:szCs w:val="24"/>
        </w:rPr>
        <w:t xml:space="preserve">亚硫酸盐（以二氧化硫计） </w:t>
      </w:r>
      <w:r>
        <w:rPr>
          <w:rFonts w:hint="eastAsia" w:ascii="Times New Roman" w:hAnsi="Times New Roman" w:cs="Times New Roman"/>
          <w:sz w:val="24"/>
          <w:szCs w:val="24"/>
        </w:rPr>
        <w:t>照离子色谱法（中国药典2020年版通则0513）测定。</w:t>
      </w:r>
    </w:p>
    <w:p>
      <w:pPr>
        <w:spacing w:line="360" w:lineRule="auto"/>
        <w:ind w:firstLine="480" w:firstLineChars="200"/>
        <w:rPr>
          <w:rFonts w:cs="Times New Roman"/>
          <w:sz w:val="24"/>
          <w:szCs w:val="24"/>
        </w:rPr>
      </w:pPr>
      <w:r>
        <w:rPr>
          <w:rFonts w:hAnsi="宋体" w:cs="Times New Roman"/>
          <w:sz w:val="24"/>
          <w:szCs w:val="24"/>
        </w:rPr>
        <w:t>供试品溶液</w:t>
      </w:r>
      <w:r>
        <w:rPr>
          <w:rFonts w:cs="Times New Roman"/>
          <w:sz w:val="24"/>
          <w:szCs w:val="24"/>
        </w:rPr>
        <w:t xml:space="preserve">  </w:t>
      </w:r>
      <w:r>
        <w:rPr>
          <w:rFonts w:hint="eastAsia" w:ascii="Times New Roman" w:hAnsi="Times New Roman" w:cs="Times New Roman"/>
          <w:sz w:val="24"/>
          <w:szCs w:val="24"/>
        </w:rPr>
        <w:t>取样品1g，精密称定，用1%的甲醛溶液溶解并定容至5ml。</w:t>
      </w:r>
    </w:p>
    <w:p>
      <w:pPr>
        <w:spacing w:line="360" w:lineRule="auto"/>
        <w:ind w:firstLine="480" w:firstLineChars="200"/>
        <w:rPr>
          <w:rFonts w:hAnsi="宋体" w:cs="Times New Roman"/>
          <w:sz w:val="24"/>
          <w:szCs w:val="24"/>
        </w:rPr>
      </w:pPr>
      <w:r>
        <w:rPr>
          <w:rFonts w:hAnsi="宋体" w:cs="Times New Roman"/>
          <w:sz w:val="24"/>
          <w:szCs w:val="24"/>
        </w:rPr>
        <w:t>对照</w:t>
      </w:r>
      <w:r>
        <w:rPr>
          <w:rFonts w:hint="eastAsia" w:hAnsi="宋体" w:cs="Times New Roman"/>
          <w:sz w:val="24"/>
          <w:szCs w:val="24"/>
        </w:rPr>
        <w:t>品</w:t>
      </w:r>
      <w:r>
        <w:rPr>
          <w:rFonts w:hAnsi="宋体" w:cs="Times New Roman"/>
          <w:sz w:val="24"/>
          <w:szCs w:val="24"/>
        </w:rPr>
        <w:t>溶液</w:t>
      </w:r>
      <w:r>
        <w:rPr>
          <w:rFonts w:cs="Times New Roman"/>
          <w:sz w:val="24"/>
          <w:szCs w:val="24"/>
        </w:rPr>
        <w:t xml:space="preserve">  </w:t>
      </w:r>
      <w:r>
        <w:rPr>
          <w:rFonts w:hint="eastAsia" w:ascii="Times New Roman" w:hAnsi="Times New Roman" w:cs="Times New Roman"/>
          <w:sz w:val="24"/>
          <w:szCs w:val="24"/>
        </w:rPr>
        <w:t>精密</w:t>
      </w:r>
      <w:r>
        <w:rPr>
          <w:rFonts w:hint="eastAsia" w:ascii="Times New Roman" w:hAnsi="Times New Roman" w:cs="Times New Roman"/>
          <w:sz w:val="24"/>
          <w:szCs w:val="24"/>
          <w:highlight w:val="none"/>
        </w:rPr>
        <w:t>称</w:t>
      </w:r>
      <w:r>
        <w:rPr>
          <w:rFonts w:hint="eastAsia" w:ascii="Times New Roman" w:hAnsi="Times New Roman" w:cs="Times New Roman"/>
          <w:sz w:val="24"/>
          <w:szCs w:val="24"/>
        </w:rPr>
        <w:t>取无水亚硫酸钠10mg，置100ml量瓶中，加1%甲醛溶液溶解并稀释至刻度，摇匀，精密量取</w:t>
      </w:r>
      <w:r>
        <w:rPr>
          <w:rFonts w:hint="eastAsia" w:cs="Times New Roman"/>
          <w:sz w:val="24"/>
          <w:szCs w:val="24"/>
          <w:highlight w:val="none"/>
        </w:rPr>
        <w:t>2</w:t>
      </w:r>
      <w:r>
        <w:rPr>
          <w:rFonts w:cs="Times New Roman"/>
          <w:sz w:val="24"/>
          <w:szCs w:val="24"/>
        </w:rPr>
        <w:t>ml</w:t>
      </w:r>
      <w:r>
        <w:rPr>
          <w:rFonts w:hAnsi="宋体" w:cs="Times New Roman"/>
          <w:sz w:val="24"/>
          <w:szCs w:val="24"/>
        </w:rPr>
        <w:t>，置</w:t>
      </w:r>
      <w:r>
        <w:rPr>
          <w:rFonts w:hint="eastAsia" w:cs="Times New Roman"/>
          <w:sz w:val="24"/>
          <w:szCs w:val="24"/>
        </w:rPr>
        <w:t>1</w:t>
      </w:r>
      <w:r>
        <w:rPr>
          <w:rFonts w:cs="Times New Roman"/>
          <w:sz w:val="24"/>
          <w:szCs w:val="24"/>
        </w:rPr>
        <w:t>0</w:t>
      </w:r>
      <w:r>
        <w:rPr>
          <w:rFonts w:hint="eastAsia" w:cs="Times New Roman"/>
          <w:sz w:val="24"/>
          <w:szCs w:val="24"/>
        </w:rPr>
        <w:t>0</w:t>
      </w:r>
      <w:r>
        <w:rPr>
          <w:rFonts w:cs="Times New Roman"/>
          <w:sz w:val="24"/>
          <w:szCs w:val="24"/>
        </w:rPr>
        <w:t>ml</w:t>
      </w:r>
      <w:r>
        <w:rPr>
          <w:rFonts w:hAnsi="宋体" w:cs="Times New Roman"/>
          <w:sz w:val="24"/>
          <w:szCs w:val="24"/>
        </w:rPr>
        <w:t>量瓶中，加</w:t>
      </w:r>
      <w:r>
        <w:rPr>
          <w:rFonts w:hint="eastAsia" w:ascii="Times New Roman" w:hAnsi="Times New Roman" w:cs="Times New Roman"/>
          <w:sz w:val="24"/>
          <w:szCs w:val="24"/>
        </w:rPr>
        <w:t>1%甲醛溶液</w:t>
      </w:r>
      <w:r>
        <w:rPr>
          <w:rFonts w:hAnsi="宋体" w:cs="Times New Roman"/>
          <w:sz w:val="24"/>
          <w:szCs w:val="24"/>
        </w:rPr>
        <w:t>稀释至刻度，摇匀，</w:t>
      </w:r>
      <w:r>
        <w:rPr>
          <w:rFonts w:hint="eastAsia" w:hAnsi="宋体" w:cs="Times New Roman"/>
          <w:sz w:val="24"/>
          <w:szCs w:val="24"/>
        </w:rPr>
        <w:t>即得</w:t>
      </w:r>
      <w:r>
        <w:rPr>
          <w:rFonts w:hAnsi="宋体" w:cs="Times New Roman"/>
          <w:sz w:val="24"/>
          <w:szCs w:val="24"/>
        </w:rPr>
        <w:t>。</w:t>
      </w:r>
    </w:p>
    <w:p>
      <w:pPr>
        <w:spacing w:line="360" w:lineRule="auto"/>
        <w:ind w:firstLine="480" w:firstLineChars="200"/>
        <w:rPr>
          <w:rFonts w:cs="Times New Roman"/>
          <w:sz w:val="24"/>
          <w:szCs w:val="24"/>
        </w:rPr>
      </w:pPr>
      <w:r>
        <w:rPr>
          <w:rFonts w:hAnsi="宋体" w:cs="Times New Roman"/>
          <w:sz w:val="24"/>
          <w:szCs w:val="24"/>
        </w:rPr>
        <w:t>系统适用性溶液</w:t>
      </w:r>
      <w:r>
        <w:rPr>
          <w:rFonts w:cs="Times New Roman"/>
          <w:sz w:val="24"/>
          <w:szCs w:val="24"/>
        </w:rPr>
        <w:t xml:space="preserve">  </w:t>
      </w:r>
      <w:r>
        <w:rPr>
          <w:rFonts w:hint="eastAsia" w:ascii="Times New Roman" w:hAnsi="Times New Roman" w:cs="Times New Roman"/>
          <w:sz w:val="24"/>
          <w:szCs w:val="24"/>
        </w:rPr>
        <w:t>精密</w:t>
      </w:r>
      <w:r>
        <w:rPr>
          <w:rFonts w:hint="eastAsia" w:ascii="Times New Roman" w:hAnsi="Times New Roman" w:cs="Times New Roman"/>
          <w:sz w:val="24"/>
          <w:szCs w:val="24"/>
          <w:highlight w:val="none"/>
        </w:rPr>
        <w:t>称</w:t>
      </w:r>
      <w:r>
        <w:rPr>
          <w:rFonts w:hint="eastAsia" w:ascii="Times New Roman" w:hAnsi="Times New Roman" w:cs="Times New Roman"/>
          <w:sz w:val="24"/>
          <w:szCs w:val="24"/>
        </w:rPr>
        <w:t>取无水亚硫酸钠10mg，置10ml量瓶中，加1%的甲醛溶液溶解并稀释至刻度，摇匀，作为亚硫酸钠储备液；精密</w:t>
      </w:r>
      <w:r>
        <w:rPr>
          <w:rFonts w:hint="eastAsia" w:ascii="Times New Roman" w:hAnsi="Times New Roman" w:cs="Times New Roman"/>
          <w:sz w:val="24"/>
          <w:szCs w:val="24"/>
          <w:highlight w:val="none"/>
        </w:rPr>
        <w:t>称</w:t>
      </w:r>
      <w:r>
        <w:rPr>
          <w:rFonts w:hint="eastAsia" w:ascii="Times New Roman" w:hAnsi="Times New Roman" w:cs="Times New Roman"/>
          <w:sz w:val="24"/>
          <w:szCs w:val="24"/>
        </w:rPr>
        <w:t>取无水硫酸钠10mg，置10ml量瓶中，加溶剂溶解并稀释至刻度，摇匀作为硫酸钠储备液；分别精密量取亚硫酸钠储备液和硫酸钠储备液各0.</w:t>
      </w:r>
      <w:r>
        <w:rPr>
          <w:rFonts w:hint="eastAsia" w:ascii="Times New Roman" w:hAnsi="Times New Roman" w:cs="Times New Roman"/>
          <w:sz w:val="24"/>
          <w:szCs w:val="24"/>
          <w:highlight w:val="none"/>
        </w:rPr>
        <w:t>2</w:t>
      </w:r>
      <w:r>
        <w:rPr>
          <w:rFonts w:hint="eastAsia" w:ascii="Times New Roman" w:hAnsi="Times New Roman" w:cs="Times New Roman"/>
          <w:sz w:val="24"/>
          <w:szCs w:val="24"/>
        </w:rPr>
        <w:t>ml，置同一10</w:t>
      </w:r>
      <w:r>
        <w:rPr>
          <w:rFonts w:hint="eastAsia" w:ascii="Times New Roman" w:hAnsi="Times New Roman" w:cs="Times New Roman"/>
          <w:sz w:val="24"/>
          <w:szCs w:val="24"/>
          <w:highlight w:val="none"/>
        </w:rPr>
        <w:t>0</w:t>
      </w:r>
      <w:r>
        <w:rPr>
          <w:rFonts w:hint="eastAsia" w:ascii="Times New Roman" w:hAnsi="Times New Roman" w:cs="Times New Roman"/>
          <w:sz w:val="24"/>
          <w:szCs w:val="24"/>
        </w:rPr>
        <w:t>ml量瓶中，加1%甲醛溶液稀释至刻度，摇匀即得</w:t>
      </w:r>
      <w:r>
        <w:rPr>
          <w:rFonts w:ascii="Times New Roman" w:hAnsi="Times New Roman" w:cs="Times New Roman"/>
          <w:sz w:val="24"/>
          <w:szCs w:val="24"/>
        </w:rPr>
        <w:t>。</w:t>
      </w:r>
    </w:p>
    <w:p>
      <w:pPr>
        <w:spacing w:line="360" w:lineRule="auto"/>
        <w:ind w:firstLine="480" w:firstLineChars="200"/>
        <w:rPr>
          <w:rFonts w:cs="Times New Roman"/>
          <w:sz w:val="24"/>
          <w:szCs w:val="24"/>
        </w:rPr>
      </w:pPr>
      <w:r>
        <w:rPr>
          <w:rFonts w:hAnsi="宋体" w:cs="Times New Roman"/>
          <w:sz w:val="24"/>
          <w:szCs w:val="24"/>
        </w:rPr>
        <w:t>色谱条件</w:t>
      </w:r>
      <w:r>
        <w:rPr>
          <w:rFonts w:cs="Times New Roman"/>
          <w:sz w:val="24"/>
          <w:szCs w:val="24"/>
        </w:rPr>
        <w:t xml:space="preserve">  </w:t>
      </w:r>
      <w:r>
        <w:rPr>
          <w:rFonts w:hint="eastAsia" w:hAnsi="宋体" w:cs="Times New Roman"/>
          <w:sz w:val="24"/>
          <w:szCs w:val="24"/>
        </w:rPr>
        <w:t>采用IonPac AS11-HC阴离子分析柱并配加IonPac AG11-HC保护柱</w:t>
      </w:r>
      <w:r>
        <w:rPr>
          <w:rFonts w:hAnsi="宋体" w:cs="Times New Roman"/>
          <w:sz w:val="24"/>
          <w:szCs w:val="24"/>
        </w:rPr>
        <w:t>；</w:t>
      </w:r>
      <w:r>
        <w:rPr>
          <w:rFonts w:hint="eastAsia" w:ascii="宋体" w:hAnsi="宋体" w:cs="宋体"/>
          <w:sz w:val="24"/>
          <w:szCs w:val="28"/>
        </w:rPr>
        <w:t>柱温为25℃；</w:t>
      </w:r>
      <w:r>
        <w:rPr>
          <w:rFonts w:hAnsi="宋体" w:cs="Times New Roman"/>
          <w:sz w:val="24"/>
          <w:szCs w:val="24"/>
        </w:rPr>
        <w:t>以</w:t>
      </w:r>
      <w:r>
        <w:rPr>
          <w:rFonts w:hint="eastAsia" w:ascii="宋体" w:hAnsi="宋体" w:cs="宋体"/>
          <w:sz w:val="24"/>
          <w:szCs w:val="28"/>
        </w:rPr>
        <w:t>8.0mmol/L的NaOH作为淋洗液,流速1.0mL/min；检测器为电导检测器，检测器温度30℃，抑制器：自动再生抑制模式，抑制电流20mA；进样量：25</w:t>
      </w:r>
      <w:r>
        <w:rPr>
          <w:rFonts w:hint="default" w:ascii="Times New Roman" w:hAnsi="Times New Roman" w:cs="Times New Roman"/>
          <w:sz w:val="24"/>
          <w:szCs w:val="28"/>
        </w:rPr>
        <w:t>μ</w:t>
      </w:r>
      <w:r>
        <w:rPr>
          <w:rFonts w:ascii="Times New Roman" w:hAnsi="Times New Roman" w:cs="Times New Roman"/>
          <w:sz w:val="24"/>
          <w:szCs w:val="28"/>
        </w:rPr>
        <w:t>l</w:t>
      </w:r>
      <w:r>
        <w:rPr>
          <w:rFonts w:hint="eastAsia" w:ascii="宋体" w:hAnsi="宋体" w:cs="宋体"/>
          <w:sz w:val="24"/>
          <w:szCs w:val="28"/>
        </w:rPr>
        <w:t>。</w:t>
      </w:r>
    </w:p>
    <w:p>
      <w:pPr>
        <w:widowControl/>
        <w:spacing w:line="360" w:lineRule="auto"/>
        <w:ind w:firstLine="480" w:firstLineChars="200"/>
        <w:jc w:val="both"/>
        <w:rPr>
          <w:rFonts w:cs="Times New Roman"/>
          <w:sz w:val="24"/>
          <w:szCs w:val="24"/>
        </w:rPr>
      </w:pPr>
      <w:r>
        <w:rPr>
          <w:rFonts w:hAnsi="宋体" w:cs="Times New Roman"/>
          <w:sz w:val="24"/>
          <w:szCs w:val="24"/>
        </w:rPr>
        <w:t>系统适用性要求</w:t>
      </w:r>
      <w:r>
        <w:rPr>
          <w:rFonts w:cs="Times New Roman"/>
          <w:sz w:val="24"/>
          <w:szCs w:val="24"/>
        </w:rPr>
        <w:t xml:space="preserve">  </w:t>
      </w:r>
      <w:r>
        <w:rPr>
          <w:rFonts w:hAnsi="宋体" w:cs="Times New Roman"/>
          <w:sz w:val="24"/>
          <w:szCs w:val="24"/>
        </w:rPr>
        <w:t>系统适用性溶液色谱图中，</w:t>
      </w:r>
      <w:r>
        <w:rPr>
          <w:rFonts w:hint="eastAsia" w:hAnsi="宋体" w:cs="Times New Roman"/>
          <w:sz w:val="24"/>
          <w:szCs w:val="24"/>
        </w:rPr>
        <w:t>亚硫酸根峰</w:t>
      </w:r>
      <w:r>
        <w:rPr>
          <w:rFonts w:hAnsi="宋体" w:cs="Times New Roman"/>
          <w:sz w:val="24"/>
          <w:szCs w:val="24"/>
        </w:rPr>
        <w:t>与</w:t>
      </w:r>
      <w:r>
        <w:rPr>
          <w:rFonts w:hint="eastAsia" w:hAnsi="宋体" w:cs="Times New Roman"/>
          <w:sz w:val="24"/>
          <w:szCs w:val="24"/>
        </w:rPr>
        <w:t>硫酸根</w:t>
      </w:r>
      <w:r>
        <w:rPr>
          <w:rFonts w:hAnsi="宋体" w:cs="Times New Roman"/>
          <w:sz w:val="24"/>
          <w:szCs w:val="24"/>
        </w:rPr>
        <w:t>峰之间的分离度应</w:t>
      </w:r>
      <w:r>
        <w:rPr>
          <w:rFonts w:hint="eastAsia" w:hAnsi="宋体" w:cs="Times New Roman"/>
          <w:sz w:val="24"/>
          <w:szCs w:val="24"/>
        </w:rPr>
        <w:t>符合要求</w:t>
      </w:r>
      <w:r>
        <w:rPr>
          <w:rFonts w:hAnsi="宋体" w:cs="Times New Roman"/>
          <w:sz w:val="24"/>
          <w:szCs w:val="24"/>
        </w:rPr>
        <w:t>。</w:t>
      </w:r>
    </w:p>
    <w:p>
      <w:pPr>
        <w:spacing w:line="360" w:lineRule="auto"/>
        <w:ind w:firstLine="480" w:firstLineChars="200"/>
        <w:rPr>
          <w:rFonts w:cs="Times New Roman"/>
          <w:sz w:val="24"/>
          <w:szCs w:val="24"/>
        </w:rPr>
      </w:pPr>
      <w:r>
        <w:rPr>
          <w:rFonts w:hAnsi="宋体" w:cs="Times New Roman"/>
          <w:sz w:val="24"/>
          <w:szCs w:val="24"/>
        </w:rPr>
        <w:t>测定法</w:t>
      </w:r>
      <w:r>
        <w:rPr>
          <w:rFonts w:cs="Times New Roman"/>
          <w:sz w:val="24"/>
          <w:szCs w:val="24"/>
        </w:rPr>
        <w:t xml:space="preserve">  </w:t>
      </w:r>
      <w:r>
        <w:rPr>
          <w:rFonts w:hAnsi="宋体" w:cs="Times New Roman"/>
          <w:sz w:val="24"/>
          <w:szCs w:val="24"/>
        </w:rPr>
        <w:t>精密量取系统适用性溶液、供试品溶液、对照溶液各</w:t>
      </w:r>
      <w:r>
        <w:rPr>
          <w:rFonts w:hint="default" w:ascii="Times New Roman" w:hAnsi="Times New Roman" w:cs="Times New Roman"/>
          <w:sz w:val="24"/>
          <w:szCs w:val="24"/>
        </w:rPr>
        <w:t>25</w:t>
      </w:r>
      <w:r>
        <w:rPr>
          <w:rFonts w:ascii="Times New Roman" w:hAnsi="Times New Roman" w:cs="Times New Roman"/>
          <w:sz w:val="24"/>
          <w:szCs w:val="24"/>
        </w:rPr>
        <w:t>µl</w:t>
      </w:r>
      <w:r>
        <w:rPr>
          <w:rFonts w:hAnsi="宋体" w:cs="Times New Roman"/>
          <w:sz w:val="24"/>
          <w:szCs w:val="24"/>
        </w:rPr>
        <w:t>，分别注入液相色谱仪。</w:t>
      </w:r>
    </w:p>
    <w:p>
      <w:pPr>
        <w:snapToGrid w:val="0"/>
        <w:spacing w:line="360" w:lineRule="auto"/>
        <w:ind w:firstLine="480" w:firstLineChars="200"/>
        <w:jc w:val="both"/>
        <w:rPr>
          <w:rFonts w:hint="eastAsia" w:ascii="Times New Roman" w:hAnsi="Times New Roman" w:cs="Times New Roman"/>
          <w:sz w:val="24"/>
          <w:szCs w:val="24"/>
        </w:rPr>
      </w:pPr>
      <w:r>
        <w:rPr>
          <w:rFonts w:hAnsi="宋体" w:cs="Times New Roman"/>
          <w:sz w:val="24"/>
          <w:szCs w:val="24"/>
        </w:rPr>
        <w:t>限度</w:t>
      </w:r>
      <w:r>
        <w:rPr>
          <w:rFonts w:cs="Times New Roman"/>
          <w:sz w:val="24"/>
          <w:szCs w:val="24"/>
        </w:rPr>
        <w:t xml:space="preserve">  </w:t>
      </w:r>
      <w:r>
        <w:rPr>
          <w:rFonts w:hint="eastAsia" w:cs="Times New Roman"/>
          <w:sz w:val="24"/>
          <w:szCs w:val="24"/>
        </w:rPr>
        <w:t>按外标法以峰面积计算，亚硫酸盐（以二氧化硫计）不得过0.0005%。</w:t>
      </w:r>
    </w:p>
    <w:p>
      <w:pPr>
        <w:snapToGrid w:val="0"/>
        <w:spacing w:line="360" w:lineRule="auto"/>
        <w:ind w:firstLine="482" w:firstLineChars="200"/>
        <w:jc w:val="both"/>
        <w:rPr>
          <w:rFonts w:ascii="Times New Roman" w:hAnsi="Times New Roman" w:cs="Times New Roman"/>
          <w:bCs/>
          <w:iCs/>
          <w:sz w:val="24"/>
          <w:szCs w:val="24"/>
        </w:rPr>
      </w:pPr>
      <w:r>
        <w:rPr>
          <w:rFonts w:hint="eastAsia" w:ascii="Times New Roman" w:hAnsi="Times New Roman" w:cs="Times New Roman"/>
          <w:b/>
          <w:bCs/>
          <w:iCs/>
          <w:sz w:val="24"/>
          <w:szCs w:val="24"/>
        </w:rPr>
        <w:t xml:space="preserve">干燥失重 </w:t>
      </w:r>
      <w:r>
        <w:rPr>
          <w:rFonts w:hint="eastAsia" w:ascii="Times New Roman" w:hAnsi="Times New Roman" w:cs="Times New Roman"/>
          <w:bCs/>
          <w:iCs/>
          <w:sz w:val="24"/>
          <w:szCs w:val="24"/>
        </w:rPr>
        <w:t>取本品2.0g，在105℃下干燥3小时，干燥失重不得过</w:t>
      </w:r>
      <w:r>
        <w:rPr>
          <w:rFonts w:hint="eastAsia" w:ascii="Times New Roman" w:hAnsi="Times New Roman" w:cs="Times New Roman"/>
          <w:bCs/>
          <w:iCs/>
          <w:sz w:val="24"/>
          <w:szCs w:val="24"/>
          <w:highlight w:val="none"/>
        </w:rPr>
        <w:t>0.1%</w:t>
      </w:r>
      <w:r>
        <w:rPr>
          <w:rFonts w:hint="eastAsia" w:ascii="Times New Roman" w:hAnsi="Times New Roman" w:cs="Times New Roman"/>
          <w:bCs/>
          <w:iCs/>
          <w:sz w:val="24"/>
          <w:szCs w:val="24"/>
        </w:rPr>
        <w:t>（中国药典2020年版四部通则0831）。</w:t>
      </w:r>
    </w:p>
    <w:p>
      <w:pPr>
        <w:snapToGrid w:val="0"/>
        <w:spacing w:line="360" w:lineRule="auto"/>
        <w:ind w:firstLine="482" w:firstLineChars="200"/>
        <w:jc w:val="both"/>
        <w:rPr>
          <w:rFonts w:ascii="Times New Roman" w:hAnsi="Times New Roman" w:cs="Times New Roman"/>
          <w:bCs/>
          <w:sz w:val="24"/>
          <w:szCs w:val="24"/>
        </w:rPr>
      </w:pPr>
      <w:r>
        <w:rPr>
          <w:rFonts w:hint="eastAsia" w:ascii="Times New Roman" w:hAnsi="Times New Roman" w:cs="Times New Roman"/>
          <w:b/>
          <w:bCs/>
          <w:sz w:val="24"/>
          <w:szCs w:val="24"/>
        </w:rPr>
        <w:t xml:space="preserve">炽灼残渣 </w:t>
      </w:r>
      <w:r>
        <w:rPr>
          <w:rFonts w:hint="eastAsia" w:ascii="Times New Roman" w:hAnsi="Times New Roman" w:cs="Times New Roman"/>
          <w:bCs/>
          <w:sz w:val="24"/>
          <w:szCs w:val="24"/>
        </w:rPr>
        <w:t>取本品2.0g，依法检查（中国药典2020年版四部通则0841），遗留残渣不得过0.1%。</w:t>
      </w:r>
    </w:p>
    <w:p>
      <w:pPr>
        <w:snapToGrid w:val="0"/>
        <w:spacing w:line="360" w:lineRule="auto"/>
        <w:ind w:firstLine="482" w:firstLineChars="200"/>
        <w:jc w:val="both"/>
        <w:rPr>
          <w:rFonts w:hint="eastAsia" w:ascii="Times New Roman" w:hAnsi="Times New Roman" w:cs="Times New Roman"/>
          <w:bCs/>
          <w:sz w:val="24"/>
          <w:szCs w:val="24"/>
        </w:rPr>
      </w:pPr>
      <w:r>
        <w:rPr>
          <w:rFonts w:hint="eastAsia" w:ascii="Times New Roman" w:hAnsi="Times New Roman" w:cs="Times New Roman"/>
          <w:b/>
          <w:bCs/>
          <w:sz w:val="24"/>
          <w:szCs w:val="24"/>
        </w:rPr>
        <w:t xml:space="preserve">重金属 </w:t>
      </w:r>
      <w:r>
        <w:rPr>
          <w:rFonts w:hint="eastAsia" w:ascii="Times New Roman" w:hAnsi="Times New Roman" w:cs="Times New Roman"/>
          <w:bCs/>
          <w:sz w:val="24"/>
          <w:szCs w:val="24"/>
        </w:rPr>
        <w:t>取炽灼残渣项下遗留的残渣，依法检查（《中国药典》2020年版四部通则0821第二法），含重金属不得过</w:t>
      </w:r>
      <w:r>
        <w:rPr>
          <w:rFonts w:hint="eastAsia" w:ascii="Times New Roman" w:hAnsi="Times New Roman" w:cs="Times New Roman"/>
          <w:bCs/>
          <w:sz w:val="24"/>
          <w:szCs w:val="24"/>
          <w:highlight w:val="none"/>
        </w:rPr>
        <w:t>百万分之一</w:t>
      </w:r>
      <w:r>
        <w:rPr>
          <w:rFonts w:hint="eastAsia" w:ascii="Times New Roman" w:hAnsi="Times New Roman" w:cs="Times New Roman"/>
          <w:bCs/>
          <w:sz w:val="24"/>
          <w:szCs w:val="24"/>
        </w:rPr>
        <w:t>。</w:t>
      </w:r>
    </w:p>
    <w:p>
      <w:pPr>
        <w:snapToGrid w:val="0"/>
        <w:spacing w:line="360" w:lineRule="auto"/>
        <w:ind w:firstLine="482" w:firstLineChars="200"/>
        <w:jc w:val="both"/>
        <w:rPr>
          <w:rFonts w:ascii="Times New Roman" w:hAnsi="Times New Roman" w:cs="Times New Roman"/>
          <w:bCs/>
          <w:sz w:val="24"/>
          <w:szCs w:val="24"/>
        </w:rPr>
      </w:pPr>
      <w:r>
        <w:rPr>
          <w:rFonts w:hint="eastAsia" w:ascii="Times New Roman" w:hAnsi="Times New Roman" w:cs="Times New Roman"/>
          <w:b/>
          <w:sz w:val="24"/>
          <w:szCs w:val="24"/>
        </w:rPr>
        <w:t>细菌内毒素</w:t>
      </w:r>
      <w:r>
        <w:rPr>
          <w:rFonts w:hint="eastAsia" w:ascii="Times New Roman" w:hAnsi="Times New Roman" w:cs="Times New Roman"/>
          <w:bCs/>
          <w:sz w:val="24"/>
          <w:szCs w:val="24"/>
        </w:rPr>
        <w:t xml:space="preserve"> 依法检查（《中国药典》2020年版四部通则1143），应小于0.</w:t>
      </w:r>
      <w:r>
        <w:rPr>
          <w:rFonts w:ascii="Times New Roman" w:hAnsi="Times New Roman" w:cs="Times New Roman"/>
          <w:bCs/>
          <w:sz w:val="24"/>
          <w:szCs w:val="24"/>
        </w:rPr>
        <w:t>3</w:t>
      </w:r>
      <w:r>
        <w:rPr>
          <w:rFonts w:hint="eastAsia" w:ascii="Times New Roman" w:hAnsi="Times New Roman" w:cs="Times New Roman"/>
          <w:bCs/>
          <w:sz w:val="24"/>
          <w:szCs w:val="24"/>
        </w:rPr>
        <w:t>EU/mg</w:t>
      </w:r>
    </w:p>
    <w:p>
      <w:pPr>
        <w:snapToGrid w:val="0"/>
        <w:spacing w:line="360" w:lineRule="auto"/>
        <w:ind w:firstLine="482" w:firstLineChars="200"/>
        <w:rPr>
          <w:rFonts w:ascii="Times New Roman" w:hAnsi="Times New Roman" w:cs="Times New Roman"/>
          <w:bCs/>
          <w:sz w:val="24"/>
          <w:szCs w:val="24"/>
        </w:rPr>
      </w:pPr>
      <w:r>
        <w:rPr>
          <w:rFonts w:hint="eastAsia" w:ascii="Times New Roman" w:hAnsi="Times New Roman" w:cs="Times New Roman"/>
          <w:b/>
          <w:bCs/>
          <w:sz w:val="24"/>
          <w:szCs w:val="24"/>
        </w:rPr>
        <w:t xml:space="preserve">微生物限度 </w:t>
      </w:r>
      <w:r>
        <w:rPr>
          <w:rFonts w:hint="eastAsia" w:ascii="Times New Roman" w:hAnsi="Times New Roman" w:cs="Times New Roman"/>
          <w:bCs/>
          <w:sz w:val="24"/>
          <w:szCs w:val="24"/>
        </w:rPr>
        <w:t>照《中国药典》</w:t>
      </w:r>
      <w:r>
        <w:rPr>
          <w:rFonts w:ascii="Times New Roman" w:hAnsi="Times New Roman" w:cs="Times New Roman"/>
          <w:bCs/>
          <w:sz w:val="24"/>
          <w:szCs w:val="24"/>
        </w:rPr>
        <w:t>2020</w:t>
      </w:r>
      <w:r>
        <w:rPr>
          <w:rFonts w:hint="eastAsia" w:ascii="Times New Roman" w:hAnsi="Times New Roman" w:cs="Times New Roman"/>
          <w:bCs/>
          <w:sz w:val="24"/>
          <w:szCs w:val="24"/>
        </w:rPr>
        <w:t>年版四部通则</w:t>
      </w:r>
      <w:r>
        <w:rPr>
          <w:rFonts w:ascii="Times New Roman" w:hAnsi="Times New Roman" w:cs="Times New Roman"/>
          <w:bCs/>
          <w:sz w:val="24"/>
          <w:szCs w:val="24"/>
        </w:rPr>
        <w:t>1105</w:t>
      </w:r>
      <w:r>
        <w:rPr>
          <w:rFonts w:hint="eastAsia" w:ascii="Times New Roman" w:hAnsi="Times New Roman" w:cs="Times New Roman"/>
          <w:bCs/>
          <w:sz w:val="24"/>
          <w:szCs w:val="24"/>
        </w:rPr>
        <w:t>和通则</w:t>
      </w:r>
      <w:r>
        <w:rPr>
          <w:rFonts w:ascii="Times New Roman" w:hAnsi="Times New Roman" w:cs="Times New Roman"/>
          <w:bCs/>
          <w:sz w:val="24"/>
          <w:szCs w:val="24"/>
        </w:rPr>
        <w:t>1106</w:t>
      </w:r>
      <w:r>
        <w:rPr>
          <w:rFonts w:hint="eastAsia" w:ascii="Times New Roman" w:hAnsi="Times New Roman" w:cs="Times New Roman"/>
          <w:bCs/>
          <w:sz w:val="24"/>
          <w:szCs w:val="24"/>
        </w:rPr>
        <w:t>。</w:t>
      </w:r>
    </w:p>
    <w:p>
      <w:pPr>
        <w:snapToGrid w:val="0"/>
        <w:spacing w:line="360" w:lineRule="auto"/>
        <w:ind w:firstLine="480" w:firstLineChars="200"/>
        <w:rPr>
          <w:rFonts w:ascii="Times New Roman" w:hAnsi="Times New Roman" w:cs="Times New Roman"/>
          <w:b/>
          <w:bCs/>
          <w:sz w:val="24"/>
          <w:szCs w:val="24"/>
        </w:rPr>
      </w:pPr>
      <w:r>
        <w:rPr>
          <w:rFonts w:hint="eastAsia" w:ascii="Times New Roman" w:hAnsi="Times New Roman" w:cs="Times New Roman"/>
          <w:bCs/>
          <w:sz w:val="24"/>
          <w:szCs w:val="24"/>
        </w:rPr>
        <w:t>取本品</w:t>
      </w:r>
      <w:r>
        <w:rPr>
          <w:rFonts w:ascii="Times New Roman" w:hAnsi="Times New Roman" w:cs="Times New Roman"/>
          <w:bCs/>
          <w:sz w:val="24"/>
          <w:szCs w:val="24"/>
        </w:rPr>
        <w:t>10g</w:t>
      </w:r>
      <w:r>
        <w:rPr>
          <w:rFonts w:hint="eastAsia" w:ascii="Times New Roman" w:hAnsi="Times New Roman" w:cs="Times New Roman"/>
          <w:bCs/>
          <w:sz w:val="24"/>
          <w:szCs w:val="24"/>
        </w:rPr>
        <w:t>，加</w:t>
      </w:r>
      <w:r>
        <w:rPr>
          <w:rFonts w:ascii="Times New Roman" w:hAnsi="Times New Roman" w:cs="Times New Roman"/>
          <w:bCs/>
          <w:sz w:val="24"/>
          <w:szCs w:val="24"/>
        </w:rPr>
        <w:t>pH7.0</w:t>
      </w:r>
      <w:r>
        <w:rPr>
          <w:rFonts w:hint="eastAsia" w:ascii="Times New Roman" w:hAnsi="Times New Roman" w:cs="Times New Roman"/>
          <w:bCs/>
          <w:sz w:val="24"/>
          <w:szCs w:val="24"/>
        </w:rPr>
        <w:t>无菌氯化钠</w:t>
      </w:r>
      <w:r>
        <w:rPr>
          <w:rFonts w:ascii="Times New Roman" w:hAnsi="Times New Roman" w:cs="Times New Roman"/>
          <w:bCs/>
          <w:sz w:val="24"/>
          <w:szCs w:val="24"/>
        </w:rPr>
        <w:t>-</w:t>
      </w:r>
      <w:r>
        <w:rPr>
          <w:rFonts w:hint="eastAsia" w:ascii="Times New Roman" w:hAnsi="Times New Roman" w:cs="Times New Roman"/>
          <w:bCs/>
          <w:sz w:val="24"/>
          <w:szCs w:val="24"/>
        </w:rPr>
        <w:t>蛋白胨缓冲液至</w:t>
      </w:r>
      <w:r>
        <w:rPr>
          <w:rFonts w:ascii="Times New Roman" w:hAnsi="Times New Roman" w:cs="Times New Roman"/>
          <w:bCs/>
          <w:sz w:val="24"/>
          <w:szCs w:val="24"/>
        </w:rPr>
        <w:t>100ml</w:t>
      </w:r>
      <w:r>
        <w:rPr>
          <w:rFonts w:hint="eastAsia" w:ascii="Times New Roman" w:hAnsi="Times New Roman" w:cs="Times New Roman"/>
          <w:bCs/>
          <w:sz w:val="24"/>
          <w:szCs w:val="24"/>
        </w:rPr>
        <w:t>，溶解，混匀，制成</w:t>
      </w:r>
      <w:r>
        <w:rPr>
          <w:rFonts w:ascii="Times New Roman" w:hAnsi="Times New Roman" w:cs="Times New Roman"/>
          <w:bCs/>
          <w:sz w:val="24"/>
          <w:szCs w:val="24"/>
        </w:rPr>
        <w:t>1:10</w:t>
      </w:r>
      <w:r>
        <w:rPr>
          <w:rFonts w:hint="eastAsia" w:ascii="Times New Roman" w:hAnsi="Times New Roman" w:cs="Times New Roman"/>
          <w:bCs/>
          <w:sz w:val="24"/>
          <w:szCs w:val="24"/>
        </w:rPr>
        <w:t>供试液。需氧菌总数、霉菌和酵母菌总数，取</w:t>
      </w:r>
      <w:r>
        <w:rPr>
          <w:rFonts w:ascii="Times New Roman" w:hAnsi="Times New Roman" w:cs="Times New Roman"/>
          <w:bCs/>
          <w:sz w:val="24"/>
          <w:szCs w:val="24"/>
        </w:rPr>
        <w:t>1:10</w:t>
      </w:r>
      <w:r>
        <w:rPr>
          <w:rFonts w:hint="eastAsia" w:ascii="Times New Roman" w:hAnsi="Times New Roman" w:cs="Times New Roman"/>
          <w:bCs/>
          <w:sz w:val="24"/>
          <w:szCs w:val="24"/>
        </w:rPr>
        <w:t>供试液</w:t>
      </w:r>
      <w:r>
        <w:rPr>
          <w:rFonts w:ascii="Times New Roman" w:hAnsi="Times New Roman" w:cs="Times New Roman"/>
          <w:bCs/>
          <w:sz w:val="24"/>
          <w:szCs w:val="24"/>
        </w:rPr>
        <w:t>1ml/</w:t>
      </w:r>
      <w:r>
        <w:rPr>
          <w:rFonts w:hint="eastAsia" w:ascii="Times New Roman" w:hAnsi="Times New Roman" w:cs="Times New Roman"/>
          <w:bCs/>
          <w:sz w:val="24"/>
          <w:szCs w:val="24"/>
        </w:rPr>
        <w:t>皿（平皿法</w:t>
      </w:r>
      <w:r>
        <w:rPr>
          <w:rFonts w:ascii="Times New Roman" w:hAnsi="Times New Roman" w:cs="Times New Roman"/>
          <w:bCs/>
          <w:sz w:val="24"/>
          <w:szCs w:val="24"/>
        </w:rPr>
        <w:t>-</w:t>
      </w:r>
      <w:r>
        <w:rPr>
          <w:rFonts w:hint="eastAsia" w:ascii="Times New Roman" w:hAnsi="Times New Roman" w:cs="Times New Roman"/>
          <w:bCs/>
          <w:sz w:val="24"/>
          <w:szCs w:val="24"/>
        </w:rPr>
        <w:t>倾注法），依法检查；大肠埃希菌，取</w:t>
      </w:r>
      <w:r>
        <w:rPr>
          <w:rFonts w:ascii="Times New Roman" w:hAnsi="Times New Roman" w:cs="Times New Roman"/>
          <w:bCs/>
          <w:sz w:val="24"/>
          <w:szCs w:val="24"/>
        </w:rPr>
        <w:t>1:10</w:t>
      </w:r>
      <w:r>
        <w:rPr>
          <w:rFonts w:hint="eastAsia" w:ascii="Times New Roman" w:hAnsi="Times New Roman" w:cs="Times New Roman"/>
          <w:bCs/>
          <w:sz w:val="24"/>
          <w:szCs w:val="24"/>
        </w:rPr>
        <w:t>供试液</w:t>
      </w:r>
      <w:r>
        <w:rPr>
          <w:rFonts w:ascii="Times New Roman" w:hAnsi="Times New Roman" w:cs="Times New Roman"/>
          <w:bCs/>
          <w:sz w:val="24"/>
          <w:szCs w:val="24"/>
        </w:rPr>
        <w:t>10ml</w:t>
      </w:r>
      <w:r>
        <w:rPr>
          <w:rFonts w:hint="eastAsia" w:ascii="Times New Roman" w:hAnsi="Times New Roman" w:cs="Times New Roman"/>
          <w:bCs/>
          <w:sz w:val="24"/>
          <w:szCs w:val="24"/>
        </w:rPr>
        <w:t>，接种至</w:t>
      </w:r>
      <w:r>
        <w:rPr>
          <w:rFonts w:ascii="Times New Roman" w:hAnsi="Times New Roman" w:cs="Times New Roman"/>
          <w:bCs/>
          <w:sz w:val="24"/>
          <w:szCs w:val="24"/>
        </w:rPr>
        <w:t xml:space="preserve">100ml </w:t>
      </w:r>
      <w:r>
        <w:rPr>
          <w:rFonts w:hint="eastAsia" w:ascii="Times New Roman" w:hAnsi="Times New Roman" w:cs="Times New Roman"/>
          <w:bCs/>
          <w:sz w:val="24"/>
          <w:szCs w:val="24"/>
        </w:rPr>
        <w:t>胰酪大豆胨液体培养基中，依法检查。每</w:t>
      </w:r>
      <w:r>
        <w:rPr>
          <w:rFonts w:ascii="Times New Roman" w:hAnsi="Times New Roman" w:cs="Times New Roman"/>
          <w:bCs/>
          <w:sz w:val="24"/>
          <w:szCs w:val="24"/>
        </w:rPr>
        <w:t>1g</w:t>
      </w:r>
      <w:r>
        <w:rPr>
          <w:rFonts w:hint="eastAsia" w:ascii="Times New Roman" w:hAnsi="Times New Roman" w:cs="Times New Roman"/>
          <w:bCs/>
          <w:sz w:val="24"/>
          <w:szCs w:val="24"/>
        </w:rPr>
        <w:t>供试品中，需氧菌总数不得过</w:t>
      </w:r>
      <w:r>
        <w:rPr>
          <w:rFonts w:ascii="Times New Roman" w:hAnsi="Times New Roman" w:cs="Times New Roman"/>
          <w:bCs/>
          <w:sz w:val="24"/>
          <w:szCs w:val="24"/>
        </w:rPr>
        <w:t>10</w:t>
      </w:r>
      <w:r>
        <w:rPr>
          <w:rFonts w:ascii="Times New Roman" w:hAnsi="Times New Roman" w:cs="Times New Roman"/>
          <w:bCs/>
          <w:sz w:val="24"/>
          <w:szCs w:val="24"/>
          <w:vertAlign w:val="superscript"/>
        </w:rPr>
        <w:t>2</w:t>
      </w:r>
      <w:r>
        <w:rPr>
          <w:rFonts w:ascii="Times New Roman" w:hAnsi="Times New Roman" w:cs="Times New Roman"/>
          <w:bCs/>
          <w:sz w:val="24"/>
          <w:szCs w:val="24"/>
        </w:rPr>
        <w:t>cfu</w:t>
      </w:r>
      <w:r>
        <w:rPr>
          <w:rFonts w:hint="eastAsia" w:ascii="Times New Roman" w:hAnsi="Times New Roman" w:cs="Times New Roman"/>
          <w:bCs/>
          <w:sz w:val="24"/>
          <w:szCs w:val="24"/>
        </w:rPr>
        <w:t>，霉菌和酵母菌总数不得过</w:t>
      </w:r>
      <w:r>
        <w:rPr>
          <w:rFonts w:ascii="Times New Roman" w:hAnsi="Times New Roman" w:cs="Times New Roman"/>
          <w:bCs/>
          <w:sz w:val="24"/>
          <w:szCs w:val="24"/>
        </w:rPr>
        <w:t>10cfu</w:t>
      </w:r>
      <w:r>
        <w:rPr>
          <w:rFonts w:hint="eastAsia" w:ascii="Times New Roman" w:hAnsi="Times New Roman" w:cs="Times New Roman"/>
          <w:bCs/>
          <w:sz w:val="24"/>
          <w:szCs w:val="24"/>
        </w:rPr>
        <w:t>，不得检出大肠埃希菌。</w:t>
      </w:r>
    </w:p>
    <w:p>
      <w:pPr>
        <w:snapToGrid w:val="0"/>
        <w:spacing w:line="360" w:lineRule="auto"/>
        <w:ind w:firstLine="482" w:firstLineChars="200"/>
        <w:jc w:val="both"/>
        <w:rPr>
          <w:rFonts w:hint="eastAsia" w:ascii="Times New Roman" w:hAnsi="Times New Roman" w:cs="Times New Roman"/>
          <w:b/>
          <w:bCs/>
          <w:sz w:val="24"/>
          <w:szCs w:val="24"/>
        </w:rPr>
      </w:pPr>
    </w:p>
    <w:p>
      <w:pPr>
        <w:snapToGrid w:val="0"/>
        <w:spacing w:line="360" w:lineRule="auto"/>
        <w:ind w:firstLine="482" w:firstLineChars="200"/>
        <w:jc w:val="both"/>
        <w:rPr>
          <w:rFonts w:ascii="Times New Roman" w:hAnsi="Times New Roman" w:cs="Times New Roman"/>
          <w:b/>
          <w:bCs/>
          <w:sz w:val="24"/>
          <w:szCs w:val="24"/>
        </w:rPr>
      </w:pPr>
      <w:r>
        <w:rPr>
          <w:rFonts w:hint="eastAsia" w:ascii="Times New Roman" w:hAnsi="Times New Roman" w:cs="Times New Roman"/>
          <w:b/>
          <w:bCs/>
          <w:sz w:val="24"/>
          <w:szCs w:val="24"/>
        </w:rPr>
        <w:t xml:space="preserve">【类别】 </w:t>
      </w:r>
      <w:r>
        <w:rPr>
          <w:rFonts w:hint="eastAsia" w:ascii="Times New Roman" w:hAnsi="Times New Roman" w:cs="Times New Roman"/>
          <w:bCs/>
          <w:sz w:val="24"/>
          <w:szCs w:val="24"/>
        </w:rPr>
        <w:t>药用辅料，冻干保护剂等。</w:t>
      </w:r>
    </w:p>
    <w:p>
      <w:pPr>
        <w:snapToGrid w:val="0"/>
        <w:spacing w:line="360" w:lineRule="auto"/>
        <w:ind w:firstLine="482" w:firstLineChars="200"/>
        <w:jc w:val="both"/>
        <w:rPr>
          <w:rFonts w:ascii="Times New Roman" w:hAnsi="Times New Roman" w:cs="Times New Roman"/>
          <w:b/>
          <w:bCs/>
          <w:sz w:val="24"/>
          <w:szCs w:val="24"/>
        </w:rPr>
      </w:pPr>
      <w:r>
        <w:rPr>
          <w:rFonts w:hint="eastAsia" w:ascii="Times New Roman" w:hAnsi="Times New Roman" w:cs="Times New Roman"/>
          <w:b/>
          <w:bCs/>
          <w:sz w:val="24"/>
          <w:szCs w:val="24"/>
        </w:rPr>
        <w:t>【贮藏】</w:t>
      </w:r>
      <w:r>
        <w:rPr>
          <w:rFonts w:hint="eastAsia" w:ascii="Times New Roman" w:hAnsi="Times New Roman" w:cs="Times New Roman"/>
          <w:bCs/>
          <w:sz w:val="24"/>
          <w:szCs w:val="24"/>
        </w:rPr>
        <w:t xml:space="preserve"> 密封、避光，在干燥处保存。</w:t>
      </w:r>
      <w:r>
        <w:rPr>
          <w:rFonts w:hint="eastAsia" w:ascii="Times New Roman" w:hAnsi="Times New Roman" w:cs="Times New Roman"/>
          <w:b/>
          <w:bCs/>
          <w:sz w:val="24"/>
          <w:szCs w:val="24"/>
        </w:rPr>
        <w:t xml:space="preserve"> </w:t>
      </w:r>
    </w:p>
    <w:p>
      <w:pPr>
        <w:snapToGrid w:val="0"/>
        <w:spacing w:line="360" w:lineRule="auto"/>
        <w:ind w:firstLine="482" w:firstLineChars="200"/>
        <w:jc w:val="left"/>
        <w:rPr>
          <w:rFonts w:ascii="Times New Roman" w:hAnsi="Times New Roman" w:cs="Times New Roman"/>
          <w:b/>
          <w:bCs/>
          <w:sz w:val="24"/>
          <w:szCs w:val="24"/>
        </w:rPr>
      </w:pPr>
      <w:r>
        <w:rPr>
          <w:rFonts w:ascii="Times New Roman" w:hAnsi="Times New Roman" w:cs="Times New Roman"/>
          <w:b/>
          <w:bCs/>
          <w:sz w:val="24"/>
          <w:szCs w:val="24"/>
        </w:rPr>
        <w:br w:type="page"/>
      </w:r>
    </w:p>
    <w:p>
      <w:pPr>
        <w:widowControl/>
        <w:jc w:val="center"/>
        <w:outlineLvl w:val="0"/>
        <w:rPr>
          <w:rFonts w:ascii="Times New Roman" w:hAnsi="Times New Roman" w:cs="Times New Roman"/>
          <w:b/>
          <w:bCs/>
          <w:sz w:val="32"/>
          <w:szCs w:val="32"/>
        </w:rPr>
      </w:pPr>
      <w:r>
        <w:rPr>
          <w:rFonts w:hint="eastAsia" w:ascii="Times New Roman" w:hAnsi="Times New Roman" w:cs="Times New Roman"/>
          <w:b/>
          <w:bCs/>
          <w:sz w:val="32"/>
          <w:szCs w:val="32"/>
        </w:rPr>
        <w:t>注射用蔗糖质量标准起草说明</w:t>
      </w:r>
    </w:p>
    <w:p>
      <w:pPr>
        <w:widowControl/>
        <w:jc w:val="center"/>
        <w:rPr>
          <w:rFonts w:hint="eastAsia" w:ascii="Times New Roman" w:hAnsi="Times New Roman" w:cs="Times New Roman"/>
          <w:b/>
          <w:bCs/>
          <w:sz w:val="32"/>
          <w:szCs w:val="32"/>
        </w:rPr>
      </w:pPr>
    </w:p>
    <w:p>
      <w:pPr>
        <w:snapToGrid w:val="0"/>
        <w:spacing w:line="360" w:lineRule="auto"/>
        <w:ind w:firstLine="482" w:firstLineChars="200"/>
        <w:jc w:val="left"/>
        <w:outlineLvl w:val="1"/>
        <w:rPr>
          <w:rFonts w:ascii="Times New Roman" w:hAnsi="Times New Roman" w:cs="Times New Roman"/>
          <w:b/>
          <w:bCs/>
          <w:sz w:val="24"/>
          <w:szCs w:val="24"/>
        </w:rPr>
      </w:pPr>
      <w:r>
        <w:rPr>
          <w:rFonts w:hint="eastAsia" w:ascii="Times New Roman" w:hAnsi="Times New Roman" w:cs="Times New Roman"/>
          <w:b/>
          <w:bCs/>
          <w:sz w:val="24"/>
          <w:szCs w:val="24"/>
        </w:rPr>
        <w:t xml:space="preserve">1.概况 </w:t>
      </w:r>
    </w:p>
    <w:p>
      <w:pPr>
        <w:snapToGrid w:val="0"/>
        <w:spacing w:line="360" w:lineRule="auto"/>
        <w:ind w:firstLine="480" w:firstLineChars="200"/>
        <w:jc w:val="left"/>
        <w:rPr>
          <w:rFonts w:hint="eastAsia" w:ascii="Times New Roman" w:hAnsi="Times New Roman" w:cs="Times New Roman"/>
          <w:bCs/>
          <w:sz w:val="24"/>
          <w:szCs w:val="24"/>
        </w:rPr>
      </w:pPr>
      <w:r>
        <w:rPr>
          <w:rFonts w:hint="eastAsia" w:ascii="Times New Roman" w:hAnsi="Times New Roman" w:cs="Times New Roman"/>
          <w:bCs/>
          <w:sz w:val="24"/>
          <w:szCs w:val="24"/>
        </w:rPr>
        <w:t>蔗糖作为重要的药品辅料，在医药领域应用十分广泛。药用蔗糖按照应用方向可以分为注射级蔗糖和口服级蔗糖。注射级蔗糖是由葡萄糖和果糖通过异构体羟基缩合而形成的非还原性二糖，具有较高的玻璃化转变温度，对阻止蛋白质二级结构的改变、冻干处理过程中及贮藏期内蛋白质多肽链的伸展及聚集有明显作用。注射级蔗糖作为冻干保护剂，广泛地应用于包括康希诺重组新冠疫苗（5型腺病毒载体）、Moderna mRNA新冠疫苗等各类纳米制剂以及蛋白生物制品中。在单克隆抗体配方中，蔗糖作为张力调节剂，在注射或滴注药物时通过平衡渗透压可以减小患者的疼痛感。根据国家药品评审中心数据，截止至2023年，国内还没有公司完成注射级蔗糖的登记备案工作，国内的注射级蔗糖完全依赖进口，被来自美国、欧洲等地的国际公司垄断。在当前国际形势错综复杂、新一轮科技革命和产业变革风起云涌、竞争更趋激烈的背景下，针对这一薄弱环节，对注射级蔗糖产品开发关键核心技术攻关，加快解决产品垄断的难题已刻不容缓。目前，我国</w:t>
      </w:r>
      <w:r>
        <w:rPr>
          <w:rFonts w:hint="eastAsia" w:ascii="Times New Roman" w:hAnsi="Times New Roman" w:cs="Times New Roman"/>
          <w:bCs/>
          <w:sz w:val="24"/>
          <w:szCs w:val="24"/>
          <w:highlight w:val="none"/>
        </w:rPr>
        <w:t>每年</w:t>
      </w:r>
      <w:r>
        <w:rPr>
          <w:rFonts w:hint="eastAsia" w:ascii="Times New Roman" w:hAnsi="Times New Roman" w:cs="Times New Roman"/>
          <w:bCs/>
          <w:sz w:val="24"/>
          <w:szCs w:val="24"/>
        </w:rPr>
        <w:t>注射级蔗糖的需求量在1000吨以上，涵盖新冠病毒疫苗、皮内注射用卡介苗、乙型脑炎减毒活疫苗等各类生物制品。因此，建立注射级蔗糖的质量标准，推动企业积极参与注射级蔗糖的研发，将有着十分重要的意义。</w:t>
      </w:r>
    </w:p>
    <w:p>
      <w:pPr>
        <w:snapToGrid w:val="0"/>
        <w:spacing w:line="360" w:lineRule="auto"/>
        <w:ind w:firstLine="480" w:firstLineChars="200"/>
        <w:jc w:val="left"/>
        <w:rPr>
          <w:rFonts w:hint="eastAsia" w:ascii="Times New Roman" w:hAnsi="Times New Roman" w:cs="Times New Roman"/>
          <w:bCs/>
          <w:sz w:val="24"/>
          <w:szCs w:val="24"/>
        </w:rPr>
      </w:pPr>
      <w:r>
        <w:rPr>
          <w:rFonts w:hint="eastAsia" w:ascii="Times New Roman" w:hAnsi="Times New Roman" w:cs="Times New Roman"/>
          <w:bCs/>
          <w:sz w:val="24"/>
          <w:szCs w:val="24"/>
        </w:rPr>
        <w:t>本项目收集了3批注射用蔗糖样品，样品详细信息见表1。</w:t>
      </w:r>
    </w:p>
    <w:p>
      <w:pPr>
        <w:snapToGrid w:val="0"/>
        <w:spacing w:line="360" w:lineRule="auto"/>
        <w:jc w:val="center"/>
        <w:rPr>
          <w:rFonts w:ascii="Times New Roman" w:hAnsi="Times New Roman" w:cs="Times New Roman"/>
          <w:bCs/>
          <w:szCs w:val="21"/>
        </w:rPr>
      </w:pPr>
      <w:r>
        <w:rPr>
          <w:rFonts w:hint="eastAsia" w:ascii="Times New Roman" w:hAnsi="Times New Roman" w:cs="Times New Roman"/>
          <w:bCs/>
          <w:szCs w:val="21"/>
        </w:rPr>
        <w:t xml:space="preserve">表1 </w:t>
      </w:r>
      <w:r>
        <w:rPr>
          <w:rFonts w:ascii="Times New Roman" w:hAnsi="Times New Roman" w:cs="Times New Roman"/>
          <w:bCs/>
          <w:szCs w:val="21"/>
        </w:rPr>
        <w:t xml:space="preserve"> </w:t>
      </w:r>
      <w:r>
        <w:rPr>
          <w:rFonts w:hint="eastAsia" w:ascii="Times New Roman" w:hAnsi="Times New Roman" w:cs="Times New Roman"/>
          <w:bCs/>
          <w:szCs w:val="21"/>
        </w:rPr>
        <w:t>样品信息表</w:t>
      </w: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3993"/>
        <w:gridCol w:w="3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top"/>
          </w:tcPr>
          <w:p>
            <w:pPr>
              <w:spacing w:line="360" w:lineRule="auto"/>
              <w:jc w:val="center"/>
              <w:rPr>
                <w:rFonts w:hint="eastAsia" w:ascii="宋体" w:hAnsi="宋体" w:cs="Times New Roman"/>
                <w:szCs w:val="21"/>
              </w:rPr>
            </w:pPr>
            <w:r>
              <w:rPr>
                <w:rFonts w:hint="eastAsia" w:ascii="宋体" w:hAnsi="宋体" w:cs="Times New Roman"/>
                <w:szCs w:val="21"/>
              </w:rPr>
              <w:t>序号</w:t>
            </w:r>
          </w:p>
        </w:tc>
        <w:tc>
          <w:tcPr>
            <w:tcW w:w="3993" w:type="dxa"/>
            <w:noWrap w:val="0"/>
            <w:vAlign w:val="top"/>
          </w:tcPr>
          <w:p>
            <w:pPr>
              <w:spacing w:line="360" w:lineRule="auto"/>
              <w:jc w:val="center"/>
              <w:rPr>
                <w:rFonts w:ascii="宋体" w:hAnsi="宋体" w:cs="Times New Roman"/>
                <w:szCs w:val="21"/>
              </w:rPr>
            </w:pPr>
            <w:r>
              <w:rPr>
                <w:rFonts w:hint="eastAsia" w:ascii="宋体" w:hAnsi="宋体" w:cs="Times New Roman"/>
                <w:szCs w:val="21"/>
              </w:rPr>
              <w:t>生产企业</w:t>
            </w:r>
          </w:p>
        </w:tc>
        <w:tc>
          <w:tcPr>
            <w:tcW w:w="3795" w:type="dxa"/>
            <w:noWrap w:val="0"/>
            <w:vAlign w:val="top"/>
          </w:tcPr>
          <w:p>
            <w:pPr>
              <w:spacing w:line="360" w:lineRule="auto"/>
              <w:jc w:val="center"/>
              <w:rPr>
                <w:rFonts w:ascii="宋体" w:hAnsi="宋体" w:cs="Times New Roman"/>
                <w:szCs w:val="21"/>
              </w:rPr>
            </w:pPr>
            <w:r>
              <w:rPr>
                <w:rFonts w:hint="eastAsia" w:ascii="宋体" w:hAnsi="宋体" w:cs="Times New Roman"/>
                <w:szCs w:val="21"/>
              </w:rPr>
              <w:t>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1</w:t>
            </w:r>
          </w:p>
        </w:tc>
        <w:tc>
          <w:tcPr>
            <w:tcW w:w="3993" w:type="dxa"/>
            <w:noWrap w:val="0"/>
            <w:vAlign w:val="center"/>
          </w:tcPr>
          <w:p>
            <w:pPr>
              <w:spacing w:line="360" w:lineRule="auto"/>
              <w:jc w:val="center"/>
              <w:rPr>
                <w:rFonts w:ascii="宋体" w:hAnsi="宋体" w:cs="Times New Roman"/>
                <w:szCs w:val="21"/>
              </w:rPr>
            </w:pPr>
            <w:r>
              <w:rPr>
                <w:rFonts w:hint="eastAsia" w:ascii="宋体" w:hAnsi="宋体" w:eastAsia="宋体" w:cs="Times New Roman"/>
                <w:color w:val="000000"/>
                <w:sz w:val="21"/>
                <w:szCs w:val="21"/>
              </w:rPr>
              <w:t>中粮崇左糖业有限公司</w:t>
            </w:r>
          </w:p>
        </w:tc>
        <w:tc>
          <w:tcPr>
            <w:tcW w:w="3795" w:type="dxa"/>
            <w:noWrap w:val="0"/>
            <w:vAlign w:val="center"/>
          </w:tcPr>
          <w:p>
            <w:pPr>
              <w:widowControl/>
              <w:spacing w:line="360" w:lineRule="auto"/>
              <w:jc w:val="center"/>
              <w:textAlignment w:val="center"/>
              <w:rPr>
                <w:rFonts w:ascii="宋体" w:hAnsi="宋体" w:cs="Times New Roman"/>
                <w:szCs w:val="21"/>
              </w:rPr>
            </w:pPr>
            <w:r>
              <w:rPr>
                <w:rFonts w:hint="eastAsia" w:ascii="宋体" w:hAnsi="宋体" w:cs="Times New Roman"/>
                <w:szCs w:val="21"/>
              </w:rPr>
              <w:t>230502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2</w:t>
            </w:r>
          </w:p>
        </w:tc>
        <w:tc>
          <w:tcPr>
            <w:tcW w:w="3993" w:type="dxa"/>
            <w:noWrap w:val="0"/>
            <w:vAlign w:val="center"/>
          </w:tcPr>
          <w:p>
            <w:pPr>
              <w:spacing w:line="360" w:lineRule="auto"/>
              <w:jc w:val="center"/>
              <w:rPr>
                <w:rFonts w:ascii="宋体" w:hAnsi="宋体" w:cs="Times New Roman"/>
                <w:szCs w:val="21"/>
              </w:rPr>
            </w:pPr>
            <w:r>
              <w:rPr>
                <w:rFonts w:hint="eastAsia" w:ascii="宋体" w:hAnsi="宋体" w:eastAsia="宋体" w:cs="Times New Roman"/>
                <w:color w:val="000000"/>
                <w:sz w:val="21"/>
                <w:szCs w:val="21"/>
              </w:rPr>
              <w:t>中粮崇左糖业有限公司</w:t>
            </w:r>
          </w:p>
        </w:tc>
        <w:tc>
          <w:tcPr>
            <w:tcW w:w="3795" w:type="dxa"/>
            <w:noWrap w:val="0"/>
            <w:vAlign w:val="center"/>
          </w:tcPr>
          <w:p>
            <w:pPr>
              <w:widowControl/>
              <w:spacing w:line="360" w:lineRule="auto"/>
              <w:jc w:val="center"/>
              <w:textAlignment w:val="center"/>
              <w:rPr>
                <w:rFonts w:ascii="宋体" w:hAnsi="宋体" w:cs="Times New Roman"/>
                <w:szCs w:val="21"/>
              </w:rPr>
            </w:pPr>
            <w:r>
              <w:rPr>
                <w:rFonts w:hint="eastAsia" w:ascii="宋体" w:hAnsi="宋体" w:cs="Times New Roman"/>
                <w:szCs w:val="21"/>
              </w:rPr>
              <w:t>230504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3</w:t>
            </w:r>
          </w:p>
        </w:tc>
        <w:tc>
          <w:tcPr>
            <w:tcW w:w="3993" w:type="dxa"/>
            <w:noWrap w:val="0"/>
            <w:vAlign w:val="center"/>
          </w:tcPr>
          <w:p>
            <w:pPr>
              <w:spacing w:line="360" w:lineRule="auto"/>
              <w:jc w:val="center"/>
              <w:rPr>
                <w:rFonts w:ascii="宋体" w:hAnsi="宋体" w:cs="Times New Roman"/>
                <w:szCs w:val="21"/>
              </w:rPr>
            </w:pPr>
            <w:r>
              <w:rPr>
                <w:rFonts w:hint="eastAsia" w:ascii="宋体" w:hAnsi="宋体" w:eastAsia="宋体" w:cs="Times New Roman"/>
                <w:color w:val="000000"/>
                <w:sz w:val="21"/>
                <w:szCs w:val="21"/>
              </w:rPr>
              <w:t>中粮崇左糖业有限公司</w:t>
            </w:r>
          </w:p>
        </w:tc>
        <w:tc>
          <w:tcPr>
            <w:tcW w:w="3795" w:type="dxa"/>
            <w:noWrap w:val="0"/>
            <w:vAlign w:val="center"/>
          </w:tcPr>
          <w:p>
            <w:pPr>
              <w:widowControl/>
              <w:spacing w:line="360" w:lineRule="auto"/>
              <w:jc w:val="center"/>
              <w:textAlignment w:val="center"/>
              <w:rPr>
                <w:rFonts w:ascii="宋体" w:hAnsi="宋体" w:cs="Times New Roman"/>
                <w:szCs w:val="21"/>
              </w:rPr>
            </w:pPr>
            <w:r>
              <w:rPr>
                <w:rFonts w:hint="eastAsia" w:ascii="宋体" w:hAnsi="宋体" w:cs="Times New Roman"/>
                <w:szCs w:val="21"/>
              </w:rPr>
              <w:t>230505</w:t>
            </w:r>
          </w:p>
        </w:tc>
      </w:tr>
    </w:tbl>
    <w:p>
      <w:pPr>
        <w:snapToGrid w:val="0"/>
        <w:spacing w:line="360" w:lineRule="auto"/>
        <w:ind w:firstLine="480" w:firstLineChars="200"/>
        <w:jc w:val="left"/>
        <w:rPr>
          <w:rFonts w:ascii="Times New Roman" w:hAnsi="Times New Roman" w:cs="Times New Roman"/>
          <w:bCs/>
          <w:sz w:val="24"/>
          <w:szCs w:val="24"/>
        </w:rPr>
      </w:pPr>
    </w:p>
    <w:p>
      <w:pPr>
        <w:snapToGrid w:val="0"/>
        <w:spacing w:line="360" w:lineRule="auto"/>
        <w:ind w:firstLine="482" w:firstLineChars="200"/>
        <w:jc w:val="left"/>
        <w:outlineLvl w:val="1"/>
        <w:rPr>
          <w:rFonts w:ascii="Times New Roman" w:hAnsi="Times New Roman" w:cs="Times New Roman"/>
          <w:b/>
          <w:bCs/>
          <w:sz w:val="24"/>
          <w:szCs w:val="24"/>
        </w:rPr>
      </w:pPr>
      <w:r>
        <w:rPr>
          <w:rFonts w:hint="eastAsia" w:ascii="Times New Roman" w:hAnsi="Times New Roman" w:cs="Times New Roman"/>
          <w:b/>
          <w:bCs/>
          <w:sz w:val="24"/>
          <w:szCs w:val="24"/>
        </w:rPr>
        <w:t>2.标准制定说明</w:t>
      </w:r>
    </w:p>
    <w:p>
      <w:pPr>
        <w:snapToGrid w:val="0"/>
        <w:spacing w:line="360" w:lineRule="auto"/>
        <w:ind w:firstLine="482" w:firstLineChars="200"/>
        <w:jc w:val="both"/>
        <w:outlineLvl w:val="2"/>
        <w:rPr>
          <w:rFonts w:ascii="Times New Roman" w:hAnsi="Times New Roman" w:cs="Times New Roman"/>
          <w:b/>
          <w:bCs/>
          <w:sz w:val="24"/>
          <w:szCs w:val="24"/>
        </w:rPr>
      </w:pPr>
      <w:r>
        <w:rPr>
          <w:rFonts w:hint="eastAsia" w:ascii="Times New Roman" w:hAnsi="Times New Roman" w:cs="Times New Roman"/>
          <w:b/>
          <w:bCs/>
          <w:sz w:val="24"/>
          <w:szCs w:val="24"/>
        </w:rPr>
        <w:t>2.1【性状】</w:t>
      </w:r>
    </w:p>
    <w:p>
      <w:pPr>
        <w:snapToGrid w:val="0"/>
        <w:spacing w:line="360" w:lineRule="auto"/>
        <w:ind w:firstLine="482" w:firstLineChars="200"/>
        <w:jc w:val="left"/>
        <w:rPr>
          <w:rFonts w:ascii="Times New Roman" w:hAnsi="Times New Roman" w:cs="Times New Roman"/>
          <w:b/>
          <w:bCs/>
          <w:sz w:val="24"/>
          <w:szCs w:val="24"/>
        </w:rPr>
      </w:pPr>
      <w:r>
        <w:rPr>
          <w:rFonts w:hint="eastAsia" w:ascii="Times New Roman" w:hAnsi="Times New Roman" w:cs="Times New Roman"/>
          <w:b/>
          <w:bCs/>
          <w:sz w:val="24"/>
          <w:szCs w:val="24"/>
        </w:rPr>
        <w:t>2.1.1</w:t>
      </w:r>
      <w:r>
        <w:rPr>
          <w:rFonts w:ascii="Times New Roman" w:hAnsi="Times New Roman" w:cs="Times New Roman"/>
          <w:b/>
          <w:bCs/>
          <w:sz w:val="24"/>
          <w:szCs w:val="24"/>
        </w:rPr>
        <w:t xml:space="preserve"> </w:t>
      </w:r>
      <w:r>
        <w:rPr>
          <w:rFonts w:hint="eastAsia" w:ascii="Times New Roman" w:hAnsi="Times New Roman" w:cs="Times New Roman"/>
          <w:b/>
          <w:bCs/>
          <w:sz w:val="24"/>
          <w:szCs w:val="24"/>
        </w:rPr>
        <w:t xml:space="preserve">外观 </w:t>
      </w:r>
      <w:r>
        <w:rPr>
          <w:rFonts w:ascii="Times New Roman" w:hAnsi="Times New Roman" w:cs="Times New Roman"/>
          <w:b/>
          <w:bCs/>
          <w:sz w:val="24"/>
          <w:szCs w:val="24"/>
        </w:rPr>
        <w:t xml:space="preserve"> </w:t>
      </w:r>
    </w:p>
    <w:p>
      <w:pPr>
        <w:snapToGrid w:val="0"/>
        <w:spacing w:line="360" w:lineRule="auto"/>
        <w:ind w:firstLine="480" w:firstLineChars="200"/>
        <w:jc w:val="left"/>
        <w:rPr>
          <w:rFonts w:ascii="Times New Roman" w:hAnsi="Times New Roman" w:cs="Times New Roman"/>
          <w:bCs/>
          <w:sz w:val="24"/>
          <w:szCs w:val="24"/>
        </w:rPr>
      </w:pPr>
      <w:r>
        <w:rPr>
          <w:rFonts w:hint="eastAsia" w:ascii="Times New Roman" w:hAnsi="Times New Roman" w:cs="Times New Roman"/>
          <w:bCs/>
          <w:sz w:val="24"/>
          <w:szCs w:val="24"/>
        </w:rPr>
        <w:t>本品3批样品均为无色结晶。</w:t>
      </w:r>
    </w:p>
    <w:p>
      <w:pPr>
        <w:snapToGrid w:val="0"/>
        <w:spacing w:line="360" w:lineRule="auto"/>
        <w:ind w:firstLine="482" w:firstLineChars="200"/>
        <w:jc w:val="left"/>
        <w:rPr>
          <w:rFonts w:hint="eastAsia" w:ascii="Times New Roman" w:hAnsi="Times New Roman" w:cs="Times New Roman"/>
          <w:b/>
          <w:sz w:val="24"/>
          <w:szCs w:val="24"/>
        </w:rPr>
      </w:pPr>
      <w:r>
        <w:rPr>
          <w:rFonts w:hint="eastAsia" w:ascii="Times New Roman" w:hAnsi="Times New Roman" w:cs="Times New Roman"/>
          <w:b/>
          <w:sz w:val="24"/>
          <w:szCs w:val="24"/>
        </w:rPr>
        <w:t>2.1.2 比旋度</w:t>
      </w:r>
    </w:p>
    <w:p>
      <w:pPr>
        <w:snapToGrid w:val="0"/>
        <w:spacing w:line="360" w:lineRule="auto"/>
        <w:ind w:firstLine="480" w:firstLineChars="200"/>
        <w:jc w:val="left"/>
        <w:rPr>
          <w:rFonts w:hint="eastAsia" w:ascii="Times New Roman" w:hAnsi="Times New Roman" w:cs="Times New Roman"/>
          <w:bCs/>
          <w:sz w:val="24"/>
          <w:szCs w:val="24"/>
        </w:rPr>
      </w:pPr>
      <w:r>
        <w:rPr>
          <w:rFonts w:hint="eastAsia" w:ascii="Times New Roman" w:hAnsi="Times New Roman" w:cs="Times New Roman"/>
          <w:bCs/>
          <w:sz w:val="24"/>
          <w:szCs w:val="24"/>
        </w:rPr>
        <w:t>比旋度为物质的常数，在一定程度上可反应</w:t>
      </w:r>
      <w:r>
        <w:rPr>
          <w:rFonts w:hint="eastAsia" w:ascii="Times New Roman" w:hAnsi="Times New Roman" w:cs="Times New Roman"/>
          <w:sz w:val="24"/>
          <w:szCs w:val="24"/>
        </w:rPr>
        <w:t>样品的纯度，故拟定了该项，</w:t>
      </w:r>
      <w:r>
        <w:rPr>
          <w:rFonts w:hint="eastAsia" w:ascii="Times New Roman" w:hAnsi="Times New Roman" w:cs="Times New Roman"/>
          <w:bCs/>
          <w:sz w:val="24"/>
          <w:szCs w:val="24"/>
        </w:rPr>
        <w:t>拟定方法见标准正文。3批样品按拟定方法检验，结果见表2。</w:t>
      </w:r>
    </w:p>
    <w:p>
      <w:pPr>
        <w:snapToGrid w:val="0"/>
        <w:spacing w:line="360" w:lineRule="auto"/>
        <w:jc w:val="center"/>
        <w:rPr>
          <w:rFonts w:hint="eastAsia" w:ascii="Times New Roman" w:hAnsi="Times New Roman" w:cs="Times New Roman"/>
          <w:bCs/>
          <w:szCs w:val="21"/>
        </w:rPr>
      </w:pPr>
      <w:r>
        <w:rPr>
          <w:rFonts w:hint="eastAsia" w:ascii="Times New Roman" w:hAnsi="Times New Roman" w:cs="Times New Roman"/>
          <w:bCs/>
          <w:szCs w:val="21"/>
        </w:rPr>
        <w:t xml:space="preserve">表2 </w:t>
      </w:r>
      <w:r>
        <w:rPr>
          <w:rFonts w:ascii="Times New Roman" w:hAnsi="Times New Roman" w:cs="Times New Roman"/>
          <w:bCs/>
          <w:szCs w:val="21"/>
        </w:rPr>
        <w:t xml:space="preserve"> </w:t>
      </w:r>
      <w:r>
        <w:rPr>
          <w:rFonts w:hint="eastAsia" w:ascii="Times New Roman" w:hAnsi="Times New Roman" w:cs="Times New Roman"/>
          <w:bCs/>
          <w:szCs w:val="21"/>
        </w:rPr>
        <w:t>比旋度测定结果</w:t>
      </w:r>
    </w:p>
    <w:tbl>
      <w:tblPr>
        <w:tblStyle w:val="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3870"/>
        <w:gridCol w:w="1818"/>
        <w:gridCol w:w="2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序号</w:t>
            </w:r>
          </w:p>
        </w:tc>
        <w:tc>
          <w:tcPr>
            <w:tcW w:w="2269" w:type="pct"/>
            <w:noWrap w:val="0"/>
            <w:vAlign w:val="center"/>
          </w:tcPr>
          <w:p>
            <w:pPr>
              <w:spacing w:line="360" w:lineRule="auto"/>
              <w:jc w:val="center"/>
              <w:rPr>
                <w:rFonts w:ascii="宋体" w:hAnsi="宋体" w:cs="Times New Roman"/>
                <w:szCs w:val="21"/>
              </w:rPr>
            </w:pPr>
            <w:r>
              <w:rPr>
                <w:rFonts w:hint="eastAsia" w:ascii="宋体" w:hAnsi="宋体" w:cs="Times New Roman"/>
                <w:szCs w:val="21"/>
              </w:rPr>
              <w:t>生产企业</w:t>
            </w:r>
          </w:p>
        </w:tc>
        <w:tc>
          <w:tcPr>
            <w:tcW w:w="1066" w:type="pct"/>
            <w:noWrap w:val="0"/>
            <w:vAlign w:val="center"/>
          </w:tcPr>
          <w:p>
            <w:pPr>
              <w:spacing w:line="360" w:lineRule="auto"/>
              <w:jc w:val="center"/>
              <w:rPr>
                <w:rFonts w:ascii="宋体" w:hAnsi="宋体" w:cs="Times New Roman"/>
                <w:szCs w:val="21"/>
              </w:rPr>
            </w:pPr>
            <w:r>
              <w:rPr>
                <w:rFonts w:hint="eastAsia" w:ascii="宋体" w:hAnsi="宋体" w:cs="Times New Roman"/>
                <w:szCs w:val="21"/>
              </w:rPr>
              <w:t>批号</w:t>
            </w:r>
          </w:p>
        </w:tc>
        <w:tc>
          <w:tcPr>
            <w:tcW w:w="1214" w:type="pct"/>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比旋度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1</w:t>
            </w:r>
          </w:p>
        </w:tc>
        <w:tc>
          <w:tcPr>
            <w:tcW w:w="2269" w:type="pct"/>
            <w:noWrap w:val="0"/>
            <w:vAlign w:val="center"/>
          </w:tcPr>
          <w:p>
            <w:pPr>
              <w:spacing w:line="360" w:lineRule="auto"/>
              <w:jc w:val="center"/>
              <w:rPr>
                <w:rFonts w:ascii="宋体" w:hAnsi="宋体" w:cs="Times New Roman"/>
                <w:szCs w:val="21"/>
              </w:rPr>
            </w:pPr>
            <w:r>
              <w:rPr>
                <w:rFonts w:hint="eastAsia" w:ascii="宋体" w:hAnsi="宋体" w:eastAsia="宋体" w:cs="Times New Roman"/>
                <w:color w:val="000000"/>
                <w:sz w:val="21"/>
                <w:szCs w:val="21"/>
              </w:rPr>
              <w:t>中粮崇左糖业有限公司</w:t>
            </w:r>
          </w:p>
        </w:tc>
        <w:tc>
          <w:tcPr>
            <w:tcW w:w="1066" w:type="pct"/>
            <w:noWrap w:val="0"/>
            <w:vAlign w:val="center"/>
          </w:tcPr>
          <w:p>
            <w:pPr>
              <w:widowControl/>
              <w:spacing w:line="360" w:lineRule="auto"/>
              <w:jc w:val="center"/>
              <w:textAlignment w:val="center"/>
              <w:rPr>
                <w:rFonts w:ascii="宋体" w:hAnsi="宋体" w:cs="Times New Roman"/>
                <w:szCs w:val="21"/>
              </w:rPr>
            </w:pPr>
            <w:r>
              <w:rPr>
                <w:rFonts w:hint="eastAsia" w:ascii="宋体" w:hAnsi="宋体" w:cs="Times New Roman"/>
                <w:szCs w:val="21"/>
              </w:rPr>
              <w:t>230502</w:t>
            </w:r>
          </w:p>
        </w:tc>
        <w:tc>
          <w:tcPr>
            <w:tcW w:w="1214" w:type="pct"/>
            <w:noWrap w:val="0"/>
            <w:vAlign w:val="center"/>
          </w:tcPr>
          <w:p>
            <w:pPr>
              <w:widowControl/>
              <w:jc w:val="center"/>
              <w:textAlignment w:val="bottom"/>
              <w:rPr>
                <w:rFonts w:ascii="宋体" w:hAnsi="宋体" w:cs="宋体"/>
                <w:color w:val="000000"/>
                <w:kern w:val="0"/>
                <w:szCs w:val="21"/>
                <w:lang w:bidi="ar"/>
              </w:rPr>
            </w:pPr>
            <w:r>
              <w:rPr>
                <w:rFonts w:hint="eastAsia" w:ascii="宋体" w:hAnsi="宋体" w:cs="宋体"/>
                <w:color w:val="000000"/>
                <w:kern w:val="0"/>
                <w:szCs w:val="21"/>
                <w:lang w:bidi="ar"/>
              </w:rPr>
              <w:t>+66.3</w:t>
            </w:r>
            <w:r>
              <w:rPr>
                <w:rFonts w:hint="eastAsia" w:ascii="宋体" w:hAnsi="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2</w:t>
            </w:r>
          </w:p>
        </w:tc>
        <w:tc>
          <w:tcPr>
            <w:tcW w:w="2269" w:type="pct"/>
            <w:noWrap w:val="0"/>
            <w:vAlign w:val="center"/>
          </w:tcPr>
          <w:p>
            <w:pPr>
              <w:spacing w:line="360" w:lineRule="auto"/>
              <w:jc w:val="center"/>
              <w:rPr>
                <w:rFonts w:ascii="宋体" w:hAnsi="宋体" w:cs="Times New Roman"/>
                <w:szCs w:val="21"/>
              </w:rPr>
            </w:pPr>
            <w:r>
              <w:rPr>
                <w:rFonts w:hint="eastAsia" w:ascii="宋体" w:hAnsi="宋体" w:eastAsia="宋体" w:cs="Times New Roman"/>
                <w:color w:val="000000"/>
                <w:sz w:val="21"/>
                <w:szCs w:val="21"/>
              </w:rPr>
              <w:t>中粮崇左糖业有限公司</w:t>
            </w:r>
          </w:p>
        </w:tc>
        <w:tc>
          <w:tcPr>
            <w:tcW w:w="1066" w:type="pct"/>
            <w:noWrap w:val="0"/>
            <w:vAlign w:val="center"/>
          </w:tcPr>
          <w:p>
            <w:pPr>
              <w:widowControl/>
              <w:spacing w:line="360" w:lineRule="auto"/>
              <w:jc w:val="center"/>
              <w:textAlignment w:val="center"/>
              <w:rPr>
                <w:rFonts w:ascii="宋体" w:hAnsi="宋体" w:cs="Times New Roman"/>
                <w:szCs w:val="21"/>
              </w:rPr>
            </w:pPr>
            <w:r>
              <w:rPr>
                <w:rFonts w:hint="eastAsia" w:ascii="宋体" w:hAnsi="宋体" w:cs="Times New Roman"/>
                <w:szCs w:val="21"/>
              </w:rPr>
              <w:t>230504</w:t>
            </w:r>
          </w:p>
        </w:tc>
        <w:tc>
          <w:tcPr>
            <w:tcW w:w="1214" w:type="pct"/>
            <w:noWrap w:val="0"/>
            <w:vAlign w:val="center"/>
          </w:tcPr>
          <w:p>
            <w:pPr>
              <w:widowControl/>
              <w:jc w:val="center"/>
              <w:textAlignment w:val="bottom"/>
              <w:rPr>
                <w:rFonts w:ascii="宋体" w:hAnsi="宋体" w:cs="宋体"/>
                <w:color w:val="000000"/>
                <w:kern w:val="0"/>
                <w:szCs w:val="21"/>
                <w:lang w:bidi="ar"/>
              </w:rPr>
            </w:pPr>
            <w:r>
              <w:rPr>
                <w:rFonts w:hint="eastAsia" w:ascii="宋体" w:hAnsi="宋体" w:cs="宋体"/>
                <w:color w:val="000000"/>
                <w:kern w:val="0"/>
                <w:szCs w:val="21"/>
                <w:lang w:bidi="ar"/>
              </w:rPr>
              <w:t>+66.5</w:t>
            </w:r>
            <w:r>
              <w:rPr>
                <w:rFonts w:hint="eastAsia" w:ascii="宋体" w:hAnsi="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3</w:t>
            </w:r>
          </w:p>
        </w:tc>
        <w:tc>
          <w:tcPr>
            <w:tcW w:w="2269" w:type="pct"/>
            <w:noWrap w:val="0"/>
            <w:vAlign w:val="center"/>
          </w:tcPr>
          <w:p>
            <w:pPr>
              <w:spacing w:line="360" w:lineRule="auto"/>
              <w:jc w:val="center"/>
              <w:rPr>
                <w:rFonts w:hint="eastAsia" w:ascii="宋体" w:hAnsi="宋体" w:eastAsia="宋体" w:cs="Times New Roman"/>
                <w:color w:val="000000"/>
                <w:sz w:val="21"/>
                <w:szCs w:val="21"/>
              </w:rPr>
            </w:pPr>
            <w:r>
              <w:rPr>
                <w:rFonts w:hint="eastAsia" w:ascii="宋体" w:hAnsi="宋体" w:eastAsia="宋体" w:cs="Times New Roman"/>
                <w:color w:val="000000"/>
                <w:sz w:val="21"/>
                <w:szCs w:val="21"/>
              </w:rPr>
              <w:t>中粮崇左糖业有限公司</w:t>
            </w:r>
          </w:p>
        </w:tc>
        <w:tc>
          <w:tcPr>
            <w:tcW w:w="1066" w:type="pct"/>
            <w:noWrap w:val="0"/>
            <w:vAlign w:val="center"/>
          </w:tcPr>
          <w:p>
            <w:pPr>
              <w:widowControl/>
              <w:spacing w:line="360" w:lineRule="auto"/>
              <w:jc w:val="center"/>
              <w:textAlignment w:val="center"/>
              <w:rPr>
                <w:rFonts w:hint="eastAsia" w:ascii="宋体" w:hAnsi="宋体" w:cs="Times New Roman"/>
                <w:szCs w:val="21"/>
              </w:rPr>
            </w:pPr>
            <w:r>
              <w:rPr>
                <w:rFonts w:hint="eastAsia" w:ascii="宋体" w:hAnsi="宋体" w:cs="Times New Roman"/>
                <w:szCs w:val="21"/>
              </w:rPr>
              <w:t>230505</w:t>
            </w:r>
          </w:p>
        </w:tc>
        <w:tc>
          <w:tcPr>
            <w:tcW w:w="1214" w:type="pct"/>
            <w:noWrap w:val="0"/>
            <w:vAlign w:val="center"/>
          </w:tcPr>
          <w:p>
            <w:pPr>
              <w:widowControl/>
              <w:jc w:val="center"/>
              <w:textAlignment w:val="bottom"/>
              <w:rPr>
                <w:rFonts w:ascii="宋体" w:hAnsi="宋体" w:cs="宋体"/>
                <w:color w:val="000000"/>
                <w:kern w:val="0"/>
                <w:szCs w:val="21"/>
                <w:lang w:bidi="ar"/>
              </w:rPr>
            </w:pPr>
            <w:r>
              <w:rPr>
                <w:rFonts w:hint="eastAsia" w:ascii="宋体" w:hAnsi="宋体" w:cs="宋体"/>
                <w:color w:val="000000"/>
                <w:kern w:val="0"/>
                <w:szCs w:val="21"/>
                <w:lang w:bidi="ar"/>
              </w:rPr>
              <w:t>+66.6</w:t>
            </w:r>
            <w:r>
              <w:rPr>
                <w:rFonts w:hint="eastAsia" w:ascii="宋体" w:hAnsi="宋体" w:cs="Times New Roman"/>
                <w:bCs/>
                <w:sz w:val="21"/>
                <w:szCs w:val="21"/>
              </w:rPr>
              <w:t>°</w:t>
            </w:r>
          </w:p>
        </w:tc>
      </w:tr>
    </w:tbl>
    <w:p>
      <w:pPr>
        <w:snapToGrid w:val="0"/>
        <w:spacing w:line="360" w:lineRule="auto"/>
        <w:ind w:firstLine="480" w:firstLineChars="200"/>
        <w:jc w:val="left"/>
        <w:rPr>
          <w:rFonts w:hint="eastAsia" w:ascii="宋体" w:hAnsi="宋体" w:cs="Times New Roman"/>
          <w:sz w:val="24"/>
          <w:szCs w:val="24"/>
        </w:rPr>
      </w:pPr>
    </w:p>
    <w:p>
      <w:pPr>
        <w:snapToGrid w:val="0"/>
        <w:spacing w:line="360" w:lineRule="auto"/>
        <w:ind w:firstLine="482" w:firstLineChars="200"/>
        <w:jc w:val="both"/>
        <w:outlineLvl w:val="2"/>
        <w:rPr>
          <w:rFonts w:ascii="Times New Roman" w:hAnsi="Times New Roman" w:cs="Times New Roman"/>
          <w:b/>
          <w:bCs/>
          <w:sz w:val="24"/>
          <w:szCs w:val="24"/>
        </w:rPr>
      </w:pPr>
      <w:r>
        <w:rPr>
          <w:rFonts w:hint="eastAsia" w:ascii="Times New Roman" w:hAnsi="Times New Roman" w:cs="Times New Roman"/>
          <w:b/>
          <w:bCs/>
          <w:sz w:val="24"/>
          <w:szCs w:val="24"/>
        </w:rPr>
        <w:t>2.2【鉴别】</w:t>
      </w:r>
    </w:p>
    <w:p>
      <w:pPr>
        <w:snapToGrid w:val="0"/>
        <w:spacing w:line="360" w:lineRule="auto"/>
        <w:ind w:firstLine="480" w:firstLineChars="200"/>
        <w:jc w:val="left"/>
        <w:rPr>
          <w:rFonts w:ascii="宋体" w:hAnsi="宋体" w:cs="Times New Roman"/>
          <w:sz w:val="24"/>
          <w:szCs w:val="24"/>
        </w:rPr>
      </w:pPr>
      <w:r>
        <w:rPr>
          <w:rFonts w:hint="eastAsia" w:ascii="宋体" w:hAnsi="宋体" w:cs="Times New Roman"/>
          <w:sz w:val="24"/>
          <w:szCs w:val="24"/>
        </w:rPr>
        <w:t xml:space="preserve">（1）化学鉴别 </w:t>
      </w:r>
    </w:p>
    <w:p>
      <w:pPr>
        <w:snapToGrid w:val="0"/>
        <w:spacing w:line="360" w:lineRule="auto"/>
        <w:ind w:firstLine="480" w:firstLineChars="200"/>
        <w:jc w:val="left"/>
        <w:rPr>
          <w:rFonts w:ascii="宋体" w:hAnsi="宋体" w:cs="Times New Roman"/>
          <w:sz w:val="24"/>
          <w:szCs w:val="24"/>
        </w:rPr>
      </w:pPr>
      <w:r>
        <w:rPr>
          <w:rFonts w:hint="eastAsia" w:ascii="宋体" w:hAnsi="宋体" w:cs="Times New Roman"/>
          <w:bCs/>
          <w:sz w:val="24"/>
          <w:szCs w:val="24"/>
        </w:rPr>
        <w:t>拟定方法见标准正文。</w:t>
      </w:r>
      <w:r>
        <w:rPr>
          <w:rFonts w:hint="eastAsia" w:ascii="Times New Roman" w:hAnsi="Times New Roman" w:cs="Times New Roman"/>
          <w:bCs/>
          <w:sz w:val="24"/>
          <w:szCs w:val="24"/>
        </w:rPr>
        <w:t>本品3批，按拟定方法检验，均呈正反应。</w:t>
      </w:r>
    </w:p>
    <w:p>
      <w:pPr>
        <w:snapToGrid w:val="0"/>
        <w:spacing w:line="360" w:lineRule="auto"/>
        <w:ind w:firstLine="480" w:firstLineChars="200"/>
        <w:jc w:val="left"/>
        <w:rPr>
          <w:rFonts w:ascii="宋体" w:hAnsi="宋体" w:cs="Times New Roman"/>
          <w:sz w:val="24"/>
          <w:szCs w:val="24"/>
        </w:rPr>
      </w:pPr>
      <w:r>
        <w:rPr>
          <w:rFonts w:hint="eastAsia" w:ascii="宋体" w:hAnsi="宋体" w:cs="Times New Roman"/>
          <w:bCs/>
          <w:sz w:val="24"/>
          <w:szCs w:val="24"/>
        </w:rPr>
        <w:t>（2）红外鉴别</w:t>
      </w:r>
      <w:r>
        <w:rPr>
          <w:rFonts w:hint="eastAsia" w:ascii="宋体" w:hAnsi="宋体" w:cs="Times New Roman"/>
          <w:sz w:val="24"/>
          <w:szCs w:val="24"/>
        </w:rPr>
        <w:t xml:space="preserve"> </w:t>
      </w:r>
    </w:p>
    <w:p>
      <w:pPr>
        <w:snapToGrid w:val="0"/>
        <w:spacing w:line="360" w:lineRule="auto"/>
        <w:ind w:firstLine="480" w:firstLineChars="200"/>
        <w:jc w:val="left"/>
        <w:rPr>
          <w:rFonts w:hint="eastAsia" w:ascii="Times New Roman" w:hAnsi="Times New Roman" w:cs="Times New Roman"/>
          <w:bCs/>
          <w:sz w:val="24"/>
          <w:szCs w:val="24"/>
        </w:rPr>
      </w:pPr>
      <w:r>
        <w:rPr>
          <w:rFonts w:hint="eastAsia" w:ascii="宋体" w:hAnsi="宋体" w:cs="Times New Roman"/>
          <w:bCs/>
          <w:sz w:val="24"/>
          <w:szCs w:val="24"/>
        </w:rPr>
        <w:t>拟定方法见标准正文。</w:t>
      </w:r>
      <w:r>
        <w:rPr>
          <w:rFonts w:hint="eastAsia" w:ascii="Times New Roman" w:hAnsi="Times New Roman" w:cs="Times New Roman"/>
          <w:bCs/>
          <w:sz w:val="24"/>
          <w:szCs w:val="24"/>
        </w:rPr>
        <w:t>本品3批的红外光谱图均与蔗糖对照品的图谱一致。典型图谱见图1、图2。</w:t>
      </w:r>
    </w:p>
    <w:p>
      <w:pPr>
        <w:snapToGrid w:val="0"/>
        <w:spacing w:line="360" w:lineRule="auto"/>
        <w:ind w:firstLine="0" w:firstLineChars="0"/>
        <w:jc w:val="center"/>
        <w:rPr>
          <w:rFonts w:hint="eastAsia" w:ascii="Times New Roman" w:hAnsi="Times New Roman" w:cs="Times New Roman"/>
          <w:bCs/>
          <w:sz w:val="21"/>
          <w:szCs w:val="21"/>
          <w:highlight w:val="none"/>
        </w:rPr>
      </w:pPr>
      <w:r>
        <w:rPr>
          <w:rFonts w:hint="eastAsia" w:ascii="Times New Roman" w:hAnsi="Times New Roman" w:cs="Times New Roman"/>
          <w:bCs/>
          <w:sz w:val="21"/>
          <w:szCs w:val="21"/>
          <w:highlight w:val="none"/>
        </w:rPr>
        <w:drawing>
          <wp:inline distT="0" distB="0" distL="114300" distR="114300">
            <wp:extent cx="5039995" cy="2519680"/>
            <wp:effectExtent l="0" t="0" r="8255" b="13970"/>
            <wp:docPr id="25" name="图片 22" descr="蔗糖对照"/>
            <wp:cNvGraphicFramePr/>
            <a:graphic xmlns:a="http://schemas.openxmlformats.org/drawingml/2006/main">
              <a:graphicData uri="http://schemas.openxmlformats.org/drawingml/2006/picture">
                <pic:pic xmlns:pic="http://schemas.openxmlformats.org/drawingml/2006/picture">
                  <pic:nvPicPr>
                    <pic:cNvPr id="25" name="图片 22" descr="蔗糖对照"/>
                    <pic:cNvPicPr/>
                  </pic:nvPicPr>
                  <pic:blipFill>
                    <a:blip r:embed="rId4"/>
                    <a:srcRect r="1012" b="18129"/>
                    <a:stretch>
                      <a:fillRect/>
                    </a:stretch>
                  </pic:blipFill>
                  <pic:spPr>
                    <a:xfrm>
                      <a:off x="0" y="0"/>
                      <a:ext cx="5039995" cy="2519680"/>
                    </a:xfrm>
                    <a:prstGeom prst="rect">
                      <a:avLst/>
                    </a:prstGeom>
                    <a:noFill/>
                    <a:ln>
                      <a:noFill/>
                    </a:ln>
                  </pic:spPr>
                </pic:pic>
              </a:graphicData>
            </a:graphic>
          </wp:inline>
        </w:drawing>
      </w:r>
    </w:p>
    <w:p>
      <w:pPr>
        <w:snapToGrid w:val="0"/>
        <w:spacing w:line="360" w:lineRule="auto"/>
        <w:ind w:firstLine="0" w:firstLineChars="0"/>
        <w:jc w:val="center"/>
        <w:rPr>
          <w:rFonts w:ascii="Times New Roman" w:hAnsi="Times New Roman" w:cs="Times New Roman"/>
          <w:bCs/>
          <w:sz w:val="21"/>
          <w:szCs w:val="21"/>
        </w:rPr>
      </w:pPr>
      <w:r>
        <w:rPr>
          <w:rFonts w:hint="eastAsia" w:ascii="Times New Roman" w:hAnsi="Times New Roman" w:cs="Times New Roman"/>
          <w:bCs/>
          <w:sz w:val="21"/>
          <w:szCs w:val="21"/>
        </w:rPr>
        <w:t xml:space="preserve">图1 </w:t>
      </w:r>
      <w:r>
        <w:rPr>
          <w:rFonts w:ascii="Times New Roman" w:hAnsi="Times New Roman" w:cs="Times New Roman"/>
          <w:bCs/>
          <w:sz w:val="21"/>
          <w:szCs w:val="21"/>
        </w:rPr>
        <w:t xml:space="preserve"> </w:t>
      </w:r>
      <w:r>
        <w:rPr>
          <w:rFonts w:hint="eastAsia" w:ascii="Times New Roman" w:hAnsi="Times New Roman" w:cs="Times New Roman"/>
          <w:bCs/>
          <w:sz w:val="21"/>
          <w:szCs w:val="21"/>
        </w:rPr>
        <w:t>蔗糖对照品红外</w:t>
      </w:r>
      <w:r>
        <w:rPr>
          <w:rFonts w:hint="eastAsia" w:ascii="Times New Roman" w:hAnsi="Times New Roman" w:cs="Times New Roman"/>
          <w:bCs/>
          <w:szCs w:val="21"/>
        </w:rPr>
        <w:t>典型</w:t>
      </w:r>
      <w:r>
        <w:rPr>
          <w:rFonts w:hint="eastAsia" w:ascii="Times New Roman" w:hAnsi="Times New Roman" w:cs="Times New Roman"/>
          <w:bCs/>
          <w:sz w:val="21"/>
          <w:szCs w:val="21"/>
        </w:rPr>
        <w:t>图</w:t>
      </w:r>
      <w:r>
        <w:rPr>
          <w:rFonts w:hint="eastAsia" w:ascii="Times New Roman" w:hAnsi="Times New Roman" w:cs="Times New Roman"/>
          <w:bCs/>
          <w:szCs w:val="21"/>
        </w:rPr>
        <w:t>谱</w:t>
      </w:r>
    </w:p>
    <w:p>
      <w:pPr>
        <w:snapToGrid w:val="0"/>
        <w:spacing w:line="360" w:lineRule="auto"/>
        <w:ind w:firstLine="0" w:firstLineChars="0"/>
        <w:jc w:val="center"/>
        <w:rPr>
          <w:rFonts w:hint="eastAsia" w:ascii="Times New Roman" w:hAnsi="Times New Roman" w:cs="Times New Roman"/>
          <w:b w:val="0"/>
          <w:bCs/>
          <w:sz w:val="21"/>
          <w:szCs w:val="21"/>
        </w:rPr>
      </w:pPr>
      <w:r>
        <w:rPr>
          <w:rFonts w:hint="eastAsia" w:ascii="Times New Roman" w:hAnsi="Times New Roman" w:cs="Times New Roman"/>
          <w:b w:val="0"/>
          <w:bCs/>
          <w:sz w:val="21"/>
          <w:szCs w:val="21"/>
        </w:rPr>
        <w:drawing>
          <wp:inline distT="0" distB="0" distL="114300" distR="114300">
            <wp:extent cx="5039995" cy="2519680"/>
            <wp:effectExtent l="0" t="0" r="8255" b="13970"/>
            <wp:docPr id="26" name="图片 23" descr="230502"/>
            <wp:cNvGraphicFramePr/>
            <a:graphic xmlns:a="http://schemas.openxmlformats.org/drawingml/2006/main">
              <a:graphicData uri="http://schemas.openxmlformats.org/drawingml/2006/picture">
                <pic:pic xmlns:pic="http://schemas.openxmlformats.org/drawingml/2006/picture">
                  <pic:nvPicPr>
                    <pic:cNvPr id="26" name="图片 23" descr="230502"/>
                    <pic:cNvPicPr/>
                  </pic:nvPicPr>
                  <pic:blipFill>
                    <a:blip r:embed="rId5"/>
                    <a:srcRect r="3482" b="18452"/>
                    <a:stretch>
                      <a:fillRect/>
                    </a:stretch>
                  </pic:blipFill>
                  <pic:spPr>
                    <a:xfrm>
                      <a:off x="0" y="0"/>
                      <a:ext cx="5039995" cy="2519680"/>
                    </a:xfrm>
                    <a:prstGeom prst="rect">
                      <a:avLst/>
                    </a:prstGeom>
                    <a:noFill/>
                    <a:ln>
                      <a:noFill/>
                    </a:ln>
                  </pic:spPr>
                </pic:pic>
              </a:graphicData>
            </a:graphic>
          </wp:inline>
        </w:drawing>
      </w:r>
    </w:p>
    <w:p>
      <w:pPr>
        <w:snapToGrid w:val="0"/>
        <w:spacing w:line="360" w:lineRule="auto"/>
        <w:ind w:firstLine="0" w:firstLineChars="0"/>
        <w:jc w:val="center"/>
        <w:rPr>
          <w:rFonts w:hint="eastAsia" w:ascii="Times New Roman" w:hAnsi="Times New Roman" w:cs="Times New Roman"/>
          <w:bCs/>
          <w:sz w:val="21"/>
          <w:szCs w:val="21"/>
        </w:rPr>
      </w:pPr>
      <w:r>
        <w:rPr>
          <w:rFonts w:hint="eastAsia" w:ascii="Times New Roman" w:hAnsi="Times New Roman" w:cs="Times New Roman"/>
          <w:bCs/>
          <w:sz w:val="21"/>
          <w:szCs w:val="21"/>
        </w:rPr>
        <w:t xml:space="preserve">图2 </w:t>
      </w:r>
      <w:r>
        <w:rPr>
          <w:rFonts w:ascii="Times New Roman" w:hAnsi="Times New Roman" w:cs="Times New Roman"/>
          <w:bCs/>
          <w:szCs w:val="21"/>
        </w:rPr>
        <w:t xml:space="preserve"> </w:t>
      </w:r>
      <w:r>
        <w:rPr>
          <w:rFonts w:hint="eastAsia" w:ascii="Times New Roman" w:hAnsi="Times New Roman" w:cs="Times New Roman"/>
          <w:bCs/>
          <w:szCs w:val="21"/>
        </w:rPr>
        <w:t>注射用蔗糖样品（批号：23</w:t>
      </w:r>
      <w:r>
        <w:rPr>
          <w:rFonts w:ascii="Times New Roman" w:hAnsi="Times New Roman" w:cs="Times New Roman"/>
          <w:bCs/>
          <w:szCs w:val="21"/>
        </w:rPr>
        <w:t>0502</w:t>
      </w:r>
      <w:r>
        <w:rPr>
          <w:rFonts w:hint="eastAsia" w:ascii="Times New Roman" w:hAnsi="Times New Roman" w:cs="Times New Roman"/>
          <w:bCs/>
          <w:szCs w:val="21"/>
        </w:rPr>
        <w:t>）红外典型图谱</w:t>
      </w:r>
    </w:p>
    <w:p>
      <w:pPr>
        <w:snapToGrid w:val="0"/>
        <w:spacing w:line="360" w:lineRule="auto"/>
        <w:ind w:firstLine="482" w:firstLineChars="200"/>
        <w:outlineLvl w:val="2"/>
        <w:rPr>
          <w:rFonts w:ascii="Times New Roman" w:hAnsi="Times New Roman" w:cs="Times New Roman"/>
          <w:b/>
          <w:bCs/>
          <w:sz w:val="24"/>
          <w:szCs w:val="24"/>
        </w:rPr>
      </w:pPr>
      <w:r>
        <w:rPr>
          <w:rFonts w:hint="eastAsia" w:ascii="Times New Roman" w:hAnsi="Times New Roman" w:cs="Times New Roman"/>
          <w:b/>
          <w:bCs/>
          <w:sz w:val="24"/>
          <w:szCs w:val="24"/>
        </w:rPr>
        <w:t xml:space="preserve">2.3【检查】 </w:t>
      </w:r>
    </w:p>
    <w:p>
      <w:pPr>
        <w:snapToGrid w:val="0"/>
        <w:spacing w:line="360" w:lineRule="auto"/>
        <w:ind w:firstLine="482" w:firstLineChars="200"/>
        <w:outlineLvl w:val="3"/>
        <w:rPr>
          <w:rFonts w:ascii="Times New Roman" w:hAnsi="Times New Roman" w:cs="Times New Roman"/>
          <w:b/>
          <w:bCs/>
          <w:sz w:val="24"/>
          <w:szCs w:val="24"/>
        </w:rPr>
      </w:pPr>
      <w:r>
        <w:rPr>
          <w:rFonts w:hint="eastAsia" w:ascii="Times New Roman" w:hAnsi="Times New Roman" w:cs="Times New Roman"/>
          <w:b/>
          <w:bCs/>
          <w:sz w:val="24"/>
          <w:szCs w:val="24"/>
        </w:rPr>
        <w:t xml:space="preserve">2.3.1电导率  </w:t>
      </w:r>
    </w:p>
    <w:p>
      <w:pPr>
        <w:snapToGrid w:val="0"/>
        <w:spacing w:line="360" w:lineRule="auto"/>
        <w:ind w:firstLine="480" w:firstLineChars="200"/>
        <w:rPr>
          <w:rFonts w:hint="eastAsia" w:ascii="Times New Roman" w:hAnsi="Times New Roman" w:cs="Times New Roman"/>
          <w:bCs/>
          <w:sz w:val="24"/>
          <w:szCs w:val="24"/>
        </w:rPr>
      </w:pPr>
      <w:r>
        <w:rPr>
          <w:rFonts w:hint="eastAsia" w:ascii="Times New Roman" w:hAnsi="Times New Roman" w:cs="Times New Roman"/>
          <w:bCs/>
          <w:sz w:val="24"/>
          <w:szCs w:val="24"/>
        </w:rPr>
        <w:t>蔗糖本身不导电，其水溶液的电导率与本品中所含的水溶性盐类杂质离子密切相关。对其水溶液中电导率的检测结果也可侧面反映样品中包含的杂质情况。拟定方法见标准正文。3批样品按拟定方法检验，测定结果见表3。</w:t>
      </w:r>
    </w:p>
    <w:p>
      <w:pPr>
        <w:snapToGrid w:val="0"/>
        <w:spacing w:line="360" w:lineRule="auto"/>
        <w:jc w:val="center"/>
        <w:rPr>
          <w:rFonts w:hint="eastAsia" w:ascii="宋体" w:hAnsi="宋体" w:cs="Times New Roman"/>
          <w:bCs/>
          <w:szCs w:val="21"/>
        </w:rPr>
      </w:pPr>
      <w:r>
        <w:rPr>
          <w:rFonts w:hint="eastAsia" w:ascii="宋体" w:hAnsi="宋体" w:cs="Times New Roman"/>
          <w:bCs/>
          <w:szCs w:val="21"/>
        </w:rPr>
        <w:t xml:space="preserve">表3 </w:t>
      </w:r>
      <w:r>
        <w:rPr>
          <w:rFonts w:ascii="宋体" w:hAnsi="宋体" w:cs="Times New Roman"/>
          <w:bCs/>
          <w:szCs w:val="21"/>
        </w:rPr>
        <w:t xml:space="preserve"> </w:t>
      </w:r>
      <w:r>
        <w:rPr>
          <w:rFonts w:hint="eastAsia" w:ascii="宋体" w:hAnsi="宋体" w:cs="Times New Roman"/>
          <w:bCs/>
          <w:szCs w:val="21"/>
        </w:rPr>
        <w:t>电导率测定结果</w:t>
      </w:r>
    </w:p>
    <w:tbl>
      <w:tblPr>
        <w:tblStyle w:val="2"/>
        <w:tblW w:w="8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3717"/>
        <w:gridCol w:w="1746"/>
        <w:gridCol w:w="1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序号</w:t>
            </w:r>
          </w:p>
        </w:tc>
        <w:tc>
          <w:tcPr>
            <w:tcW w:w="3717" w:type="dxa"/>
            <w:noWrap w:val="0"/>
            <w:vAlign w:val="center"/>
          </w:tcPr>
          <w:p>
            <w:pPr>
              <w:spacing w:line="360" w:lineRule="auto"/>
              <w:jc w:val="center"/>
              <w:rPr>
                <w:rFonts w:ascii="宋体" w:hAnsi="宋体" w:cs="Times New Roman"/>
                <w:szCs w:val="21"/>
              </w:rPr>
            </w:pPr>
            <w:r>
              <w:rPr>
                <w:rFonts w:hint="eastAsia" w:ascii="宋体" w:hAnsi="宋体" w:cs="Times New Roman"/>
                <w:szCs w:val="21"/>
              </w:rPr>
              <w:t>生产企业</w:t>
            </w:r>
          </w:p>
        </w:tc>
        <w:tc>
          <w:tcPr>
            <w:tcW w:w="1746" w:type="dxa"/>
            <w:noWrap w:val="0"/>
            <w:vAlign w:val="center"/>
          </w:tcPr>
          <w:p>
            <w:pPr>
              <w:spacing w:line="360" w:lineRule="auto"/>
              <w:jc w:val="center"/>
              <w:rPr>
                <w:rFonts w:ascii="宋体" w:hAnsi="宋体" w:cs="Times New Roman"/>
                <w:szCs w:val="21"/>
              </w:rPr>
            </w:pPr>
            <w:r>
              <w:rPr>
                <w:rFonts w:hint="eastAsia" w:ascii="宋体" w:hAnsi="宋体" w:cs="Times New Roman"/>
                <w:szCs w:val="21"/>
              </w:rPr>
              <w:t>批号</w:t>
            </w:r>
          </w:p>
        </w:tc>
        <w:tc>
          <w:tcPr>
            <w:tcW w:w="1988"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电导率（</w:t>
            </w:r>
            <w:r>
              <w:rPr>
                <w:rFonts w:hint="default" w:ascii="Times New Roman" w:hAnsi="Times New Roman" w:cs="Times New Roman"/>
                <w:bCs/>
                <w:sz w:val="21"/>
                <w:szCs w:val="21"/>
              </w:rPr>
              <w:t>μs·cm</w:t>
            </w:r>
            <w:r>
              <w:rPr>
                <w:rFonts w:hint="default" w:ascii="Times New Roman" w:hAnsi="Times New Roman" w:cs="Times New Roman"/>
                <w:bCs/>
                <w:sz w:val="21"/>
                <w:szCs w:val="21"/>
                <w:vertAlign w:val="superscript"/>
              </w:rPr>
              <w:t>-1</w:t>
            </w:r>
            <w:r>
              <w:rPr>
                <w:rFonts w:hint="eastAsia" w:ascii="宋体" w:hAnsi="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1</w:t>
            </w:r>
          </w:p>
        </w:tc>
        <w:tc>
          <w:tcPr>
            <w:tcW w:w="3717" w:type="dxa"/>
            <w:noWrap w:val="0"/>
            <w:vAlign w:val="center"/>
          </w:tcPr>
          <w:p>
            <w:pPr>
              <w:spacing w:line="360" w:lineRule="auto"/>
              <w:jc w:val="center"/>
              <w:rPr>
                <w:rFonts w:ascii="宋体" w:hAnsi="宋体" w:cs="Times New Roman"/>
                <w:szCs w:val="21"/>
              </w:rPr>
            </w:pPr>
            <w:r>
              <w:rPr>
                <w:rFonts w:hint="eastAsia" w:ascii="宋体" w:hAnsi="宋体" w:eastAsia="宋体" w:cs="Times New Roman"/>
                <w:color w:val="000000"/>
                <w:sz w:val="21"/>
                <w:szCs w:val="21"/>
              </w:rPr>
              <w:t>中粮崇左糖业有限公司</w:t>
            </w:r>
          </w:p>
        </w:tc>
        <w:tc>
          <w:tcPr>
            <w:tcW w:w="1746" w:type="dxa"/>
            <w:noWrap w:val="0"/>
            <w:vAlign w:val="center"/>
          </w:tcPr>
          <w:p>
            <w:pPr>
              <w:widowControl/>
              <w:spacing w:line="360" w:lineRule="auto"/>
              <w:jc w:val="center"/>
              <w:textAlignment w:val="center"/>
              <w:rPr>
                <w:rFonts w:ascii="宋体" w:hAnsi="宋体" w:cs="Times New Roman"/>
                <w:szCs w:val="21"/>
              </w:rPr>
            </w:pPr>
            <w:r>
              <w:rPr>
                <w:rFonts w:hint="eastAsia" w:ascii="宋体" w:hAnsi="宋体" w:cs="Times New Roman"/>
                <w:szCs w:val="21"/>
              </w:rPr>
              <w:t>230502</w:t>
            </w:r>
          </w:p>
        </w:tc>
        <w:tc>
          <w:tcPr>
            <w:tcW w:w="1988" w:type="dxa"/>
            <w:noWrap w:val="0"/>
            <w:vAlign w:val="center"/>
          </w:tcPr>
          <w:p>
            <w:pPr>
              <w:widowControl/>
              <w:jc w:val="center"/>
              <w:textAlignment w:val="bottom"/>
              <w:rPr>
                <w:rFonts w:hint="eastAsia" w:ascii="宋体" w:hAnsi="宋体" w:cs="宋体"/>
                <w:color w:val="000000"/>
                <w:kern w:val="0"/>
                <w:szCs w:val="21"/>
                <w:lang w:bidi="ar"/>
              </w:rPr>
            </w:pPr>
            <w:r>
              <w:rPr>
                <w:rFonts w:hint="eastAsia" w:ascii="宋体" w:hAnsi="宋体" w:cs="宋体"/>
                <w:color w:val="000000"/>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2</w:t>
            </w:r>
          </w:p>
        </w:tc>
        <w:tc>
          <w:tcPr>
            <w:tcW w:w="3717" w:type="dxa"/>
            <w:noWrap w:val="0"/>
            <w:vAlign w:val="center"/>
          </w:tcPr>
          <w:p>
            <w:pPr>
              <w:spacing w:line="360" w:lineRule="auto"/>
              <w:jc w:val="center"/>
              <w:rPr>
                <w:rFonts w:ascii="宋体" w:hAnsi="宋体" w:cs="Times New Roman"/>
                <w:szCs w:val="21"/>
              </w:rPr>
            </w:pPr>
            <w:r>
              <w:rPr>
                <w:rFonts w:hint="eastAsia" w:ascii="宋体" w:hAnsi="宋体" w:eastAsia="宋体" w:cs="Times New Roman"/>
                <w:color w:val="000000"/>
                <w:sz w:val="21"/>
                <w:szCs w:val="21"/>
              </w:rPr>
              <w:t>中粮崇左糖业有限公司</w:t>
            </w:r>
          </w:p>
        </w:tc>
        <w:tc>
          <w:tcPr>
            <w:tcW w:w="1746" w:type="dxa"/>
            <w:noWrap w:val="0"/>
            <w:vAlign w:val="center"/>
          </w:tcPr>
          <w:p>
            <w:pPr>
              <w:widowControl/>
              <w:spacing w:line="360" w:lineRule="auto"/>
              <w:jc w:val="center"/>
              <w:textAlignment w:val="center"/>
              <w:rPr>
                <w:rFonts w:ascii="宋体" w:hAnsi="宋体" w:cs="Times New Roman"/>
                <w:szCs w:val="21"/>
              </w:rPr>
            </w:pPr>
            <w:r>
              <w:rPr>
                <w:rFonts w:hint="eastAsia" w:ascii="宋体" w:hAnsi="宋体" w:cs="Times New Roman"/>
                <w:szCs w:val="21"/>
              </w:rPr>
              <w:t>230504</w:t>
            </w:r>
          </w:p>
        </w:tc>
        <w:tc>
          <w:tcPr>
            <w:tcW w:w="1988" w:type="dxa"/>
            <w:noWrap w:val="0"/>
            <w:vAlign w:val="center"/>
          </w:tcPr>
          <w:p>
            <w:pPr>
              <w:widowControl/>
              <w:jc w:val="center"/>
              <w:textAlignment w:val="bottom"/>
              <w:rPr>
                <w:rFonts w:hint="eastAsia" w:ascii="宋体" w:hAnsi="宋体" w:cs="宋体"/>
                <w:color w:val="000000"/>
                <w:kern w:val="0"/>
                <w:szCs w:val="21"/>
                <w:lang w:bidi="ar"/>
              </w:rPr>
            </w:pPr>
            <w:r>
              <w:rPr>
                <w:rFonts w:hint="eastAsia" w:ascii="宋体" w:hAnsi="宋体" w:cs="宋体"/>
                <w:color w:val="000000"/>
                <w:kern w:val="0"/>
                <w:szCs w:val="21"/>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3</w:t>
            </w:r>
          </w:p>
        </w:tc>
        <w:tc>
          <w:tcPr>
            <w:tcW w:w="3717" w:type="dxa"/>
            <w:noWrap w:val="0"/>
            <w:vAlign w:val="center"/>
          </w:tcPr>
          <w:p>
            <w:pPr>
              <w:spacing w:line="360" w:lineRule="auto"/>
              <w:jc w:val="center"/>
              <w:rPr>
                <w:rFonts w:ascii="宋体" w:hAnsi="宋体" w:cs="Times New Roman"/>
                <w:szCs w:val="21"/>
              </w:rPr>
            </w:pPr>
            <w:r>
              <w:rPr>
                <w:rFonts w:hint="eastAsia" w:ascii="宋体" w:hAnsi="宋体" w:eastAsia="宋体" w:cs="Times New Roman"/>
                <w:color w:val="000000"/>
                <w:sz w:val="21"/>
                <w:szCs w:val="21"/>
              </w:rPr>
              <w:t>中粮崇左糖业有限公司</w:t>
            </w:r>
          </w:p>
        </w:tc>
        <w:tc>
          <w:tcPr>
            <w:tcW w:w="1746" w:type="dxa"/>
            <w:noWrap w:val="0"/>
            <w:vAlign w:val="center"/>
          </w:tcPr>
          <w:p>
            <w:pPr>
              <w:widowControl/>
              <w:spacing w:line="360" w:lineRule="auto"/>
              <w:jc w:val="center"/>
              <w:textAlignment w:val="center"/>
              <w:rPr>
                <w:rFonts w:ascii="宋体" w:hAnsi="宋体" w:cs="Times New Roman"/>
                <w:szCs w:val="21"/>
              </w:rPr>
            </w:pPr>
            <w:r>
              <w:rPr>
                <w:rFonts w:hint="eastAsia" w:ascii="宋体" w:hAnsi="宋体" w:cs="Times New Roman"/>
                <w:szCs w:val="21"/>
              </w:rPr>
              <w:t>230505</w:t>
            </w:r>
          </w:p>
        </w:tc>
        <w:tc>
          <w:tcPr>
            <w:tcW w:w="1988" w:type="dxa"/>
            <w:noWrap w:val="0"/>
            <w:vAlign w:val="center"/>
          </w:tcPr>
          <w:p>
            <w:pPr>
              <w:widowControl/>
              <w:jc w:val="center"/>
              <w:textAlignment w:val="bottom"/>
              <w:rPr>
                <w:rFonts w:hint="eastAsia" w:ascii="宋体" w:hAnsi="宋体" w:cs="宋体"/>
                <w:color w:val="000000"/>
                <w:kern w:val="0"/>
                <w:szCs w:val="21"/>
                <w:lang w:bidi="ar"/>
              </w:rPr>
            </w:pPr>
            <w:r>
              <w:rPr>
                <w:rFonts w:hint="eastAsia" w:ascii="宋体" w:hAnsi="宋体" w:cs="宋体"/>
                <w:color w:val="000000"/>
                <w:kern w:val="0"/>
                <w:szCs w:val="21"/>
                <w:lang w:bidi="ar"/>
              </w:rPr>
              <w:t>1</w:t>
            </w:r>
          </w:p>
        </w:tc>
      </w:tr>
    </w:tbl>
    <w:p>
      <w:pPr>
        <w:snapToGrid w:val="0"/>
        <w:spacing w:line="360" w:lineRule="auto"/>
        <w:ind w:firstLine="482" w:firstLineChars="200"/>
        <w:rPr>
          <w:rFonts w:ascii="Times New Roman" w:hAnsi="Times New Roman" w:cs="Times New Roman"/>
          <w:b/>
          <w:bCs/>
          <w:sz w:val="24"/>
          <w:szCs w:val="24"/>
        </w:rPr>
      </w:pPr>
    </w:p>
    <w:p>
      <w:pPr>
        <w:snapToGrid w:val="0"/>
        <w:spacing w:line="360" w:lineRule="auto"/>
        <w:ind w:firstLine="482" w:firstLineChars="200"/>
        <w:outlineLvl w:val="3"/>
        <w:rPr>
          <w:rFonts w:hint="eastAsia" w:ascii="Times New Roman" w:hAnsi="Times New Roman" w:cs="Times New Roman"/>
          <w:b/>
          <w:bCs/>
          <w:sz w:val="24"/>
          <w:szCs w:val="24"/>
        </w:rPr>
      </w:pPr>
      <w:r>
        <w:rPr>
          <w:rFonts w:hint="eastAsia" w:ascii="Times New Roman" w:hAnsi="Times New Roman" w:cs="Times New Roman"/>
          <w:b/>
          <w:bCs/>
          <w:sz w:val="24"/>
          <w:szCs w:val="24"/>
        </w:rPr>
        <w:t>2.3.2溶液的澄清度</w:t>
      </w:r>
    </w:p>
    <w:p>
      <w:pPr>
        <w:snapToGrid w:val="0"/>
        <w:spacing w:line="360" w:lineRule="auto"/>
        <w:ind w:firstLine="480" w:firstLineChars="200"/>
        <w:rPr>
          <w:rFonts w:hint="eastAsia" w:ascii="Times New Roman" w:hAnsi="Times New Roman" w:cs="Times New Roman"/>
          <w:b/>
          <w:sz w:val="24"/>
          <w:szCs w:val="24"/>
        </w:rPr>
      </w:pPr>
      <w:r>
        <w:rPr>
          <w:rFonts w:hint="eastAsia" w:ascii="Times New Roman" w:hAnsi="Times New Roman" w:cs="Times New Roman"/>
          <w:sz w:val="24"/>
          <w:szCs w:val="24"/>
        </w:rPr>
        <w:t>溶液澄清度可在一定程度上反映了样品的纯度，故拟定了检查项，</w:t>
      </w:r>
      <w:r>
        <w:rPr>
          <w:rFonts w:hint="eastAsia" w:ascii="Times New Roman" w:hAnsi="Times New Roman" w:cs="Times New Roman"/>
          <w:bCs/>
          <w:sz w:val="24"/>
          <w:szCs w:val="24"/>
        </w:rPr>
        <w:t>拟定方法见标准正文。3批样品按拟定方法检验，结果均符合规定。</w:t>
      </w:r>
    </w:p>
    <w:p>
      <w:pPr>
        <w:snapToGrid w:val="0"/>
        <w:spacing w:line="360" w:lineRule="auto"/>
        <w:ind w:firstLine="482" w:firstLineChars="200"/>
        <w:outlineLvl w:val="3"/>
        <w:rPr>
          <w:rFonts w:hint="eastAsia" w:ascii="Times New Roman" w:hAnsi="Times New Roman" w:cs="Times New Roman"/>
          <w:b/>
          <w:bCs/>
          <w:sz w:val="24"/>
          <w:szCs w:val="24"/>
        </w:rPr>
      </w:pPr>
      <w:r>
        <w:rPr>
          <w:rFonts w:hint="eastAsia" w:ascii="Times New Roman" w:hAnsi="Times New Roman" w:cs="Times New Roman"/>
          <w:b/>
          <w:bCs/>
          <w:sz w:val="24"/>
          <w:szCs w:val="24"/>
        </w:rPr>
        <w:t>2.3.3亚硫酸盐（以二氧化硫计）</w:t>
      </w:r>
    </w:p>
    <w:p>
      <w:pPr>
        <w:spacing w:line="360" w:lineRule="auto"/>
        <w:ind w:firstLine="480" w:firstLineChars="200"/>
        <w:rPr>
          <w:rFonts w:hint="eastAsia" w:cs="Times New Roman"/>
          <w:sz w:val="24"/>
          <w:szCs w:val="22"/>
        </w:rPr>
      </w:pPr>
      <w:r>
        <w:rPr>
          <w:rFonts w:hint="eastAsia" w:ascii="Times New Roman" w:hAnsi="Times New Roman" w:cs="Times New Roman"/>
          <w:sz w:val="24"/>
          <w:szCs w:val="24"/>
        </w:rPr>
        <w:t>传统的制糖工艺均会用到二氧化硫进行漂洗等，从而造成成品糖残留二氧化硫。二氧化硫具有还原性，可能会影响制剂中主要活性成分的稳定性。因此拟定了亚硫酸盐的检测项目，</w:t>
      </w:r>
      <w:r>
        <w:rPr>
          <w:rFonts w:hint="eastAsia" w:ascii="Times New Roman" w:hAnsi="Times New Roman" w:cs="Times New Roman"/>
          <w:bCs/>
          <w:sz w:val="24"/>
          <w:szCs w:val="24"/>
        </w:rPr>
        <w:t>拟定方法见标准正文，</w:t>
      </w:r>
      <w:r>
        <w:rPr>
          <w:rFonts w:hint="eastAsia" w:cs="Times New Roman"/>
          <w:sz w:val="24"/>
          <w:szCs w:val="22"/>
        </w:rPr>
        <w:t>并对该方法进行了验证。</w:t>
      </w:r>
    </w:p>
    <w:p>
      <w:pPr>
        <w:widowControl w:val="0"/>
        <w:spacing w:line="360" w:lineRule="auto"/>
        <w:ind w:firstLine="480" w:firstLineChars="200"/>
        <w:jc w:val="both"/>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2.3.</w:t>
      </w:r>
      <w:r>
        <w:rPr>
          <w:rFonts w:ascii="Times New Roman" w:hAnsi="Times New Roman" w:eastAsia="宋体" w:cs="Times New Roman"/>
          <w:kern w:val="2"/>
          <w:sz w:val="24"/>
          <w:szCs w:val="24"/>
          <w:lang w:val="en-US" w:eastAsia="zh-CN" w:bidi="ar-SA"/>
        </w:rPr>
        <w:t>3.1色谱条件</w:t>
      </w:r>
    </w:p>
    <w:p>
      <w:pPr>
        <w:widowControl w:val="0"/>
        <w:spacing w:line="360" w:lineRule="auto"/>
        <w:ind w:firstLine="480" w:firstLineChars="200"/>
        <w:jc w:val="both"/>
        <w:rPr>
          <w:rFonts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8"/>
          <w:lang w:val="en-US" w:eastAsia="zh-CN" w:bidi="ar-SA"/>
        </w:rPr>
        <w:t>柱温：25℃；以8.0mmol/L的NaOH作为淋洗液,流速1.0mL/min；检测器为电导检测器，检测器温度30℃，抑制器：自动再生抑制模式，抑制电流20mA；进样量：25</w:t>
      </w:r>
      <w:r>
        <w:rPr>
          <w:rFonts w:hint="default" w:ascii="Times New Roman" w:hAnsi="Times New Roman" w:eastAsia="宋体" w:cs="Times New Roman"/>
          <w:kern w:val="2"/>
          <w:sz w:val="24"/>
          <w:szCs w:val="28"/>
          <w:lang w:val="en-US" w:eastAsia="zh-CN" w:bidi="ar-SA"/>
        </w:rPr>
        <w:t>μ</w:t>
      </w:r>
      <w:r>
        <w:rPr>
          <w:rFonts w:ascii="Times New Roman" w:hAnsi="Times New Roman" w:eastAsia="宋体" w:cs="Times New Roman"/>
          <w:kern w:val="2"/>
          <w:sz w:val="24"/>
          <w:szCs w:val="28"/>
          <w:lang w:val="en-US" w:eastAsia="zh-CN" w:bidi="ar-SA"/>
        </w:rPr>
        <w:t>l</w:t>
      </w:r>
      <w:r>
        <w:rPr>
          <w:rFonts w:hint="eastAsia" w:ascii="宋体" w:hAnsi="宋体" w:eastAsia="宋体" w:cs="宋体"/>
          <w:kern w:val="2"/>
          <w:sz w:val="24"/>
          <w:szCs w:val="28"/>
          <w:lang w:val="en-US" w:eastAsia="zh-CN" w:bidi="ar-SA"/>
        </w:rPr>
        <w:t>。</w:t>
      </w:r>
    </w:p>
    <w:p>
      <w:pPr>
        <w:widowControl w:val="0"/>
        <w:spacing w:line="360" w:lineRule="auto"/>
        <w:ind w:firstLine="480" w:firstLineChars="200"/>
        <w:jc w:val="both"/>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2.3.</w:t>
      </w:r>
      <w:r>
        <w:rPr>
          <w:rFonts w:ascii="Times New Roman" w:hAnsi="Times New Roman" w:eastAsia="宋体" w:cs="Times New Roman"/>
          <w:kern w:val="2"/>
          <w:sz w:val="24"/>
          <w:szCs w:val="24"/>
          <w:lang w:val="en-US" w:eastAsia="zh-CN" w:bidi="ar-SA"/>
        </w:rPr>
        <w:t>3.2溶液配制</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1</w:t>
      </w:r>
      <w:r>
        <w:rPr>
          <w:rFonts w:hint="eastAsia" w:ascii="Times New Roman" w:hAnsi="Times New Roman" w:cs="Times New Roman"/>
          <w:sz w:val="24"/>
          <w:szCs w:val="24"/>
        </w:rPr>
        <w:t>）</w:t>
      </w:r>
      <w:r>
        <w:rPr>
          <w:rFonts w:ascii="Times New Roman" w:hAnsi="Times New Roman" w:cs="Times New Roman"/>
          <w:sz w:val="24"/>
          <w:szCs w:val="24"/>
        </w:rPr>
        <w:t>系统适用性溶液：</w:t>
      </w:r>
      <w:r>
        <w:rPr>
          <w:rFonts w:hint="eastAsia" w:ascii="Times New Roman" w:hAnsi="Times New Roman" w:cs="Times New Roman"/>
          <w:sz w:val="24"/>
          <w:szCs w:val="24"/>
        </w:rPr>
        <w:t>精密</w:t>
      </w:r>
      <w:r>
        <w:rPr>
          <w:rFonts w:hint="eastAsia" w:ascii="Times New Roman" w:hAnsi="Times New Roman" w:cs="Times New Roman"/>
          <w:color w:val="auto"/>
          <w:sz w:val="24"/>
          <w:szCs w:val="24"/>
        </w:rPr>
        <w:t>称</w:t>
      </w:r>
      <w:r>
        <w:rPr>
          <w:rFonts w:hint="eastAsia" w:ascii="Times New Roman" w:hAnsi="Times New Roman" w:cs="Times New Roman"/>
          <w:sz w:val="24"/>
          <w:szCs w:val="24"/>
        </w:rPr>
        <w:t>取无水亚硫酸钠10mg，置10ml量瓶中，加溶剂溶解并稀释至刻度，摇匀作为亚硫酸钠储备液；精密</w:t>
      </w:r>
      <w:r>
        <w:rPr>
          <w:rFonts w:hint="eastAsia" w:ascii="Times New Roman" w:hAnsi="Times New Roman" w:cs="Times New Roman"/>
          <w:color w:val="auto"/>
          <w:sz w:val="24"/>
          <w:szCs w:val="24"/>
        </w:rPr>
        <w:t>称</w:t>
      </w:r>
      <w:r>
        <w:rPr>
          <w:rFonts w:hint="eastAsia" w:ascii="Times New Roman" w:hAnsi="Times New Roman" w:cs="Times New Roman"/>
          <w:sz w:val="24"/>
          <w:szCs w:val="24"/>
        </w:rPr>
        <w:t>取无水硫酸钠10mg，置10ml量瓶中，加溶剂溶解并稀释至刻度，摇匀作为硫酸钠储备液；分别精密量取亚硫酸钠储备液和硫酸钠储备液0.2ml，置同一个100ml量瓶中，加1%甲醛溶液稀释至刻度，摇匀即得</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w:t>
      </w:r>
      <w:r>
        <w:rPr>
          <w:rFonts w:hint="eastAsia" w:ascii="Times New Roman" w:hAnsi="Times New Roman" w:cs="Times New Roman"/>
          <w:sz w:val="24"/>
          <w:szCs w:val="24"/>
        </w:rPr>
        <w:t>）</w:t>
      </w:r>
      <w:r>
        <w:rPr>
          <w:rFonts w:ascii="Times New Roman" w:hAnsi="Times New Roman" w:cs="Times New Roman"/>
          <w:sz w:val="24"/>
          <w:szCs w:val="24"/>
        </w:rPr>
        <w:t xml:space="preserve">供试品溶液  </w:t>
      </w:r>
      <w:bookmarkStart w:id="1" w:name="OLE_LINK2"/>
      <w:r>
        <w:rPr>
          <w:rFonts w:hint="eastAsia" w:ascii="Times New Roman" w:hAnsi="Times New Roman" w:cs="Times New Roman"/>
          <w:sz w:val="24"/>
          <w:szCs w:val="24"/>
        </w:rPr>
        <w:t>取样品1g，精密称定，用1%甲醛溶液并定容至5ml。</w:t>
      </w:r>
      <w:r>
        <w:rPr>
          <w:rFonts w:ascii="Times New Roman" w:hAnsi="Times New Roman" w:cs="Times New Roman"/>
          <w:sz w:val="24"/>
          <w:szCs w:val="24"/>
        </w:rPr>
        <w:t>。</w:t>
      </w:r>
      <w:bookmarkEnd w:id="1"/>
    </w:p>
    <w:p>
      <w:pPr>
        <w:spacing w:line="360" w:lineRule="auto"/>
        <w:ind w:firstLine="480" w:firstLineChars="200"/>
        <w:rPr>
          <w:rFonts w:hint="eastAsia" w:ascii="Times New Roman" w:hAnsi="Times New Roman" w:cs="Times New Roman"/>
          <w:sz w:val="24"/>
          <w:szCs w:val="24"/>
        </w:rPr>
      </w:pPr>
      <w:r>
        <w:rPr>
          <w:rFonts w:ascii="Times New Roman" w:hAnsi="Times New Roman" w:cs="Times New Roman"/>
          <w:sz w:val="24"/>
          <w:szCs w:val="24"/>
        </w:rPr>
        <w:t>（3</w:t>
      </w:r>
      <w:r>
        <w:rPr>
          <w:rFonts w:hint="eastAsia" w:ascii="Times New Roman" w:hAnsi="Times New Roman" w:cs="Times New Roman"/>
          <w:sz w:val="24"/>
          <w:szCs w:val="24"/>
        </w:rPr>
        <w:t>）线性系列溶液的制备：精密量取亚硫酸钠储备液1ml，置10ml量瓶中，加溶剂稀释至刻度，摇匀作为线性储备液；分别精密量取线性储备液0.025ml、0.05ml、0.1ml、0.2ml、0.4ml、0.5ml、1ml，分别置10ml量瓶中，加1%甲醛溶液稀释至刻度，摇匀作为线性1~7系列溶液。</w:t>
      </w:r>
    </w:p>
    <w:p>
      <w:pPr>
        <w:spacing w:line="360" w:lineRule="auto"/>
        <w:ind w:firstLine="480" w:firstLineChars="200"/>
        <w:rPr>
          <w:rFonts w:hint="eastAsia"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rPr>
        <w:t>4）精密度溶液：取线性</w:t>
      </w:r>
      <w:r>
        <w:rPr>
          <w:rFonts w:hint="eastAsia" w:ascii="Times New Roman" w:hAnsi="Times New Roman" w:cs="Times New Roman"/>
          <w:color w:val="FF0000"/>
          <w:sz w:val="24"/>
          <w:szCs w:val="24"/>
        </w:rPr>
        <w:t>4</w:t>
      </w:r>
      <w:r>
        <w:rPr>
          <w:rFonts w:hint="eastAsia" w:ascii="Times New Roman" w:hAnsi="Times New Roman" w:cs="Times New Roman"/>
          <w:sz w:val="24"/>
          <w:szCs w:val="24"/>
        </w:rPr>
        <w:t>溶液即得。</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rPr>
        <w:t>5）检测限和定量限</w:t>
      </w:r>
      <w:r>
        <w:rPr>
          <w:rFonts w:ascii="Times New Roman" w:hAnsi="Times New Roman" w:cs="Times New Roman"/>
          <w:sz w:val="24"/>
          <w:szCs w:val="24"/>
        </w:rPr>
        <w:t>溶液：</w:t>
      </w:r>
      <w:r>
        <w:rPr>
          <w:rFonts w:hint="eastAsia" w:ascii="Times New Roman" w:hAnsi="Times New Roman" w:cs="Times New Roman"/>
          <w:sz w:val="24"/>
          <w:szCs w:val="24"/>
        </w:rPr>
        <w:t>精密量取线性1溶液5ml，置10ml量瓶，加溶剂稀释至刻度，作为检测限溶液；取线性1作为定量限溶液</w:t>
      </w:r>
      <w:r>
        <w:rPr>
          <w:rFonts w:ascii="Times New Roman" w:hAnsi="Times New Roman" w:cs="Times New Roman"/>
          <w:sz w:val="24"/>
          <w:szCs w:val="24"/>
        </w:rPr>
        <w:t>。</w:t>
      </w:r>
    </w:p>
    <w:p>
      <w:pPr>
        <w:spacing w:line="360" w:lineRule="auto"/>
        <w:ind w:firstLine="480" w:firstLineChars="200"/>
        <w:rPr>
          <w:rFonts w:hint="eastAsia"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rPr>
        <w:t>6）回收系列溶液的制备：分别精密量取6份供试品1g，分别置5ml量瓶中，加1%甲醛溶液溶解，分别精密加入线性储备液0.1ml，加1%甲醛溶液稀释至刻度，摇匀作为回收1~6系列溶液。</w:t>
      </w:r>
    </w:p>
    <w:p>
      <w:pPr>
        <w:spacing w:line="360" w:lineRule="auto"/>
        <w:ind w:firstLine="480" w:firstLineChars="200"/>
        <w:rPr>
          <w:rFonts w:hint="eastAsia"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rPr>
        <w:t>7）样品稳定性溶液：即回收1溶液。</w:t>
      </w:r>
    </w:p>
    <w:p>
      <w:pPr>
        <w:widowControl w:val="0"/>
        <w:spacing w:line="360" w:lineRule="auto"/>
        <w:ind w:firstLine="480" w:firstLineChars="200"/>
        <w:jc w:val="both"/>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2.3.3.3 系统适用性实验结果</w:t>
      </w:r>
    </w:p>
    <w:p>
      <w:pPr>
        <w:widowControl w:val="0"/>
        <w:spacing w:line="360" w:lineRule="auto"/>
        <w:ind w:firstLine="480" w:firstLineChars="200"/>
        <w:jc w:val="both"/>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系统适用性溶液中各组分色谱峰的保留时间、理论塔板数及分离度见表4、图3～6。</w:t>
      </w:r>
    </w:p>
    <w:p>
      <w:pPr>
        <w:spacing w:line="360" w:lineRule="auto"/>
        <w:jc w:val="center"/>
        <w:rPr>
          <w:rFonts w:ascii="Times New Roman" w:hAnsi="Times New Roman" w:cs="Times New Roman"/>
          <w:sz w:val="21"/>
          <w:szCs w:val="21"/>
        </w:rPr>
      </w:pPr>
      <w:r>
        <w:rPr>
          <w:rFonts w:ascii="Times New Roman" w:hAnsi="Times New Roman" w:cs="Times New Roman"/>
          <w:sz w:val="21"/>
          <w:szCs w:val="21"/>
        </w:rPr>
        <w:t>表</w:t>
      </w:r>
      <w:r>
        <w:rPr>
          <w:rFonts w:hint="eastAsia" w:ascii="Times New Roman" w:hAnsi="Times New Roman" w:cs="Times New Roman"/>
          <w:sz w:val="21"/>
          <w:szCs w:val="21"/>
        </w:rPr>
        <w:t>4</w:t>
      </w:r>
      <w:r>
        <w:rPr>
          <w:rFonts w:ascii="Times New Roman" w:hAnsi="Times New Roman" w:cs="Times New Roman"/>
          <w:sz w:val="21"/>
          <w:szCs w:val="21"/>
        </w:rPr>
        <w:t xml:space="preserve">  系统适用性实验结果</w:t>
      </w:r>
    </w:p>
    <w:tbl>
      <w:tblPr>
        <w:tblStyle w:val="2"/>
        <w:tblW w:w="33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791"/>
        <w:gridCol w:w="1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noWrap w:val="0"/>
            <w:vAlign w:val="top"/>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组分名称</w:t>
            </w:r>
          </w:p>
        </w:tc>
        <w:tc>
          <w:tcPr>
            <w:tcW w:w="1791" w:type="dxa"/>
            <w:noWrap w:val="0"/>
            <w:vAlign w:val="top"/>
          </w:tcPr>
          <w:p>
            <w:pPr>
              <w:spacing w:line="360" w:lineRule="auto"/>
              <w:jc w:val="center"/>
              <w:rPr>
                <w:rFonts w:hint="eastAsia" w:ascii="Times New Roman" w:hAnsi="Times New Roman" w:cs="Times New Roman"/>
                <w:sz w:val="21"/>
                <w:szCs w:val="21"/>
              </w:rPr>
            </w:pPr>
            <w:r>
              <w:rPr>
                <w:rFonts w:hint="eastAsia" w:ascii="Times New Roman" w:hAnsi="Times New Roman" w:cs="Times New Roman"/>
                <w:sz w:val="21"/>
                <w:szCs w:val="21"/>
              </w:rPr>
              <w:t>理论塔板数</w:t>
            </w:r>
          </w:p>
        </w:tc>
        <w:tc>
          <w:tcPr>
            <w:tcW w:w="1791" w:type="dxa"/>
            <w:noWrap w:val="0"/>
            <w:vAlign w:val="top"/>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分离度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noWrap w:val="0"/>
            <w:vAlign w:val="top"/>
          </w:tcPr>
          <w:p>
            <w:pPr>
              <w:spacing w:line="360" w:lineRule="auto"/>
              <w:jc w:val="center"/>
              <w:rPr>
                <w:rFonts w:hint="eastAsia" w:ascii="Times New Roman" w:hAnsi="Times New Roman" w:cs="Times New Roman"/>
                <w:sz w:val="21"/>
                <w:szCs w:val="21"/>
              </w:rPr>
            </w:pPr>
            <w:r>
              <w:rPr>
                <w:rFonts w:hint="eastAsia" w:ascii="Times New Roman" w:hAnsi="Times New Roman" w:cs="Times New Roman"/>
                <w:sz w:val="21"/>
                <w:szCs w:val="21"/>
              </w:rPr>
              <w:t>亚硫酸根</w:t>
            </w:r>
          </w:p>
        </w:tc>
        <w:tc>
          <w:tcPr>
            <w:tcW w:w="1791" w:type="dxa"/>
            <w:noWrap w:val="0"/>
            <w:vAlign w:val="top"/>
          </w:tcPr>
          <w:p>
            <w:pPr>
              <w:spacing w:line="360" w:lineRule="auto"/>
              <w:jc w:val="center"/>
              <w:rPr>
                <w:rFonts w:ascii="Times New Roman" w:hAnsi="Times New Roman" w:cs="Times New Roman"/>
                <w:sz w:val="21"/>
                <w:szCs w:val="21"/>
              </w:rPr>
            </w:pPr>
            <w:r>
              <w:rPr>
                <w:rFonts w:hint="eastAsia" w:ascii="Times New Roman" w:hAnsi="Times New Roman" w:cs="Times New Roman"/>
                <w:sz w:val="21"/>
                <w:szCs w:val="21"/>
              </w:rPr>
              <w:t>6149</w:t>
            </w:r>
          </w:p>
        </w:tc>
        <w:tc>
          <w:tcPr>
            <w:tcW w:w="1791" w:type="dxa"/>
            <w:noWrap w:val="0"/>
            <w:vAlign w:val="top"/>
          </w:tcPr>
          <w:p>
            <w:pPr>
              <w:spacing w:line="360" w:lineRule="auto"/>
              <w:jc w:val="center"/>
              <w:rPr>
                <w:rFonts w:hint="eastAsia" w:ascii="Times New Roman" w:hAnsi="Times New Roman" w:cs="Times New Roman"/>
                <w:sz w:val="21"/>
                <w:szCs w:val="21"/>
              </w:rPr>
            </w:pP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noWrap w:val="0"/>
            <w:vAlign w:val="top"/>
          </w:tcPr>
          <w:p>
            <w:pPr>
              <w:spacing w:line="360" w:lineRule="auto"/>
              <w:jc w:val="center"/>
              <w:rPr>
                <w:rFonts w:ascii="Times New Roman" w:hAnsi="Times New Roman" w:cs="Times New Roman"/>
                <w:sz w:val="21"/>
                <w:szCs w:val="21"/>
              </w:rPr>
            </w:pPr>
            <w:r>
              <w:rPr>
                <w:rFonts w:hint="eastAsia" w:ascii="Times New Roman" w:hAnsi="Times New Roman" w:cs="Times New Roman"/>
                <w:sz w:val="21"/>
                <w:szCs w:val="21"/>
              </w:rPr>
              <w:t>硫酸根</w:t>
            </w:r>
          </w:p>
        </w:tc>
        <w:tc>
          <w:tcPr>
            <w:tcW w:w="1791" w:type="dxa"/>
            <w:noWrap w:val="0"/>
            <w:vAlign w:val="top"/>
          </w:tcPr>
          <w:p>
            <w:pPr>
              <w:spacing w:line="360" w:lineRule="auto"/>
              <w:jc w:val="center"/>
              <w:rPr>
                <w:rFonts w:ascii="Times New Roman" w:hAnsi="Times New Roman" w:cs="Times New Roman"/>
                <w:sz w:val="21"/>
                <w:szCs w:val="21"/>
              </w:rPr>
            </w:pPr>
            <w:r>
              <w:rPr>
                <w:rFonts w:hint="eastAsia" w:ascii="Times New Roman" w:hAnsi="Times New Roman" w:cs="Times New Roman"/>
                <w:sz w:val="21"/>
                <w:szCs w:val="21"/>
              </w:rPr>
              <w:t>6924</w:t>
            </w:r>
          </w:p>
        </w:tc>
        <w:tc>
          <w:tcPr>
            <w:tcW w:w="1791" w:type="dxa"/>
            <w:noWrap w:val="0"/>
            <w:vAlign w:val="top"/>
          </w:tcPr>
          <w:p>
            <w:pPr>
              <w:spacing w:line="360" w:lineRule="auto"/>
              <w:jc w:val="center"/>
              <w:rPr>
                <w:rFonts w:ascii="Times New Roman" w:hAnsi="Times New Roman" w:cs="Times New Roman"/>
                <w:sz w:val="21"/>
                <w:szCs w:val="21"/>
              </w:rPr>
            </w:pPr>
            <w:r>
              <w:rPr>
                <w:rFonts w:hint="eastAsia" w:ascii="Times New Roman" w:hAnsi="Times New Roman" w:cs="Times New Roman"/>
                <w:sz w:val="21"/>
                <w:szCs w:val="21"/>
              </w:rPr>
              <w:t>2.2</w:t>
            </w:r>
          </w:p>
        </w:tc>
      </w:tr>
    </w:tbl>
    <w:p>
      <w:pPr>
        <w:spacing w:line="360" w:lineRule="auto"/>
        <w:rPr>
          <w:rFonts w:ascii="Times New Roman" w:hAnsi="Times New Roman" w:cs="Times New Roman"/>
          <w:sz w:val="24"/>
          <w:szCs w:val="24"/>
        </w:rPr>
      </w:pPr>
    </w:p>
    <w:p>
      <w:pPr>
        <w:widowControl w:val="0"/>
        <w:spacing w:line="360" w:lineRule="auto"/>
        <w:ind w:firstLine="0" w:firstLineChars="0"/>
        <w:jc w:val="both"/>
        <w:rPr>
          <w:rFonts w:hint="eastAsia" w:ascii="Times New Roman" w:hAnsi="Times New Roman" w:eastAsia="宋体" w:cs="Times New Roman"/>
          <w:kern w:val="2"/>
          <w:sz w:val="24"/>
          <w:szCs w:val="24"/>
          <w:lang w:val="en-US" w:eastAsia="zh-CN" w:bidi="ar-SA"/>
        </w:rPr>
      </w:pPr>
      <w:r>
        <w:rPr>
          <w:rFonts w:ascii="Calibri" w:hAnsi="Calibri" w:eastAsia="宋体" w:cs="Times New Roman"/>
          <w:kern w:val="2"/>
          <w:sz w:val="21"/>
          <w:szCs w:val="22"/>
          <w:lang w:val="en-US" w:eastAsia="zh-CN" w:bidi="ar-SA"/>
        </w:rPr>
        <w:drawing>
          <wp:inline distT="0" distB="0" distL="114300" distR="114300">
            <wp:extent cx="5039995" cy="2519680"/>
            <wp:effectExtent l="0" t="0" r="8255" b="13970"/>
            <wp:docPr id="27" name="图片 24"/>
            <wp:cNvGraphicFramePr/>
            <a:graphic xmlns:a="http://schemas.openxmlformats.org/drawingml/2006/main">
              <a:graphicData uri="http://schemas.openxmlformats.org/drawingml/2006/picture">
                <pic:pic xmlns:pic="http://schemas.openxmlformats.org/drawingml/2006/picture">
                  <pic:nvPicPr>
                    <pic:cNvPr id="27" name="图片 24"/>
                    <pic:cNvPicPr/>
                  </pic:nvPicPr>
                  <pic:blipFill>
                    <a:blip r:embed="rId6"/>
                    <a:stretch>
                      <a:fillRect/>
                    </a:stretch>
                  </pic:blipFill>
                  <pic:spPr>
                    <a:xfrm>
                      <a:off x="0" y="0"/>
                      <a:ext cx="5039995" cy="2519680"/>
                    </a:xfrm>
                    <a:prstGeom prst="rect">
                      <a:avLst/>
                    </a:prstGeom>
                    <a:noFill/>
                    <a:ln>
                      <a:noFill/>
                    </a:ln>
                  </pic:spPr>
                </pic:pic>
              </a:graphicData>
            </a:graphic>
          </wp:inline>
        </w:drawing>
      </w:r>
    </w:p>
    <w:p>
      <w:pPr>
        <w:widowControl w:val="0"/>
        <w:spacing w:line="360" w:lineRule="auto"/>
        <w:ind w:firstLine="0" w:firstLineChars="0"/>
        <w:jc w:val="center"/>
        <w:rPr>
          <w:rFonts w:hint="eastAsia" w:ascii="Times New Roman" w:hAnsi="Times New Roman" w:eastAsia="宋体" w:cs="Times New Roman"/>
          <w:kern w:val="2"/>
          <w:sz w:val="24"/>
          <w:szCs w:val="24"/>
          <w:lang w:val="en-US" w:eastAsia="zh-CN" w:bidi="ar-SA"/>
        </w:rPr>
      </w:pPr>
      <w:r>
        <w:rPr>
          <w:rFonts w:hint="eastAsia" w:ascii="Calibri" w:hAnsi="Calibri" w:eastAsia="宋体" w:cs="Times New Roman"/>
          <w:bCs/>
          <w:kern w:val="2"/>
          <w:sz w:val="21"/>
          <w:szCs w:val="22"/>
          <w:lang w:val="en-US" w:eastAsia="zh-CN" w:bidi="ar-SA"/>
        </w:rPr>
        <w:t>图</w:t>
      </w:r>
      <w:r>
        <w:rPr>
          <w:rFonts w:ascii="Calibri" w:hAnsi="Calibri" w:eastAsia="宋体" w:cs="Times New Roman"/>
          <w:bCs/>
          <w:kern w:val="2"/>
          <w:sz w:val="21"/>
          <w:szCs w:val="22"/>
          <w:lang w:val="en-US" w:eastAsia="zh-CN" w:bidi="ar-SA"/>
        </w:rPr>
        <w:t>3</w:t>
      </w:r>
      <w:r>
        <w:rPr>
          <w:rFonts w:hint="eastAsia" w:ascii="Calibri" w:hAnsi="Calibri" w:eastAsia="宋体" w:cs="Times New Roman"/>
          <w:bCs/>
          <w:kern w:val="2"/>
          <w:sz w:val="21"/>
          <w:szCs w:val="22"/>
          <w:lang w:val="en-US" w:eastAsia="zh-CN" w:bidi="ar-SA"/>
        </w:rPr>
        <w:t xml:space="preserve"> </w:t>
      </w:r>
      <w:r>
        <w:rPr>
          <w:rFonts w:ascii="Calibri" w:hAnsi="Calibri" w:eastAsia="宋体" w:cs="Times New Roman"/>
          <w:bCs/>
          <w:kern w:val="2"/>
          <w:sz w:val="21"/>
          <w:szCs w:val="22"/>
          <w:lang w:val="en-US" w:eastAsia="zh-CN" w:bidi="ar-SA"/>
        </w:rPr>
        <w:t xml:space="preserve"> 空白溶剂（</w:t>
      </w:r>
      <w:r>
        <w:rPr>
          <w:rFonts w:hint="eastAsia" w:ascii="Calibri" w:hAnsi="Calibri" w:eastAsia="宋体" w:cs="Times New Roman"/>
          <w:bCs/>
          <w:kern w:val="2"/>
          <w:sz w:val="21"/>
          <w:szCs w:val="22"/>
          <w:lang w:val="en-US" w:eastAsia="zh-CN" w:bidi="ar-SA"/>
        </w:rPr>
        <w:t>1%甲醛</w:t>
      </w:r>
      <w:r>
        <w:rPr>
          <w:rFonts w:ascii="Calibri" w:hAnsi="Calibri" w:eastAsia="宋体" w:cs="Times New Roman"/>
          <w:bCs/>
          <w:kern w:val="2"/>
          <w:sz w:val="21"/>
          <w:szCs w:val="22"/>
          <w:lang w:val="en-US" w:eastAsia="zh-CN" w:bidi="ar-SA"/>
        </w:rPr>
        <w:t>）</w:t>
      </w:r>
      <w:r>
        <w:rPr>
          <w:rFonts w:hint="eastAsia" w:ascii="Calibri" w:hAnsi="Calibri" w:eastAsia="宋体" w:cs="Times New Roman"/>
          <w:bCs/>
          <w:kern w:val="2"/>
          <w:sz w:val="21"/>
          <w:szCs w:val="22"/>
          <w:lang w:val="en-US" w:eastAsia="zh-CN" w:bidi="ar-SA"/>
        </w:rPr>
        <w:t>图谱</w:t>
      </w:r>
    </w:p>
    <w:p>
      <w:pPr>
        <w:widowControl w:val="0"/>
        <w:spacing w:line="360" w:lineRule="auto"/>
        <w:ind w:firstLine="0" w:firstLineChars="0"/>
        <w:jc w:val="both"/>
        <w:rPr>
          <w:rFonts w:hint="eastAsia" w:ascii="Times New Roman" w:hAnsi="Times New Roman" w:eastAsia="宋体" w:cs="Times New Roman"/>
          <w:kern w:val="2"/>
          <w:sz w:val="24"/>
          <w:szCs w:val="24"/>
          <w:lang w:val="en-US" w:eastAsia="zh-CN" w:bidi="ar-SA"/>
        </w:rPr>
      </w:pPr>
      <w:r>
        <w:rPr>
          <w:rFonts w:ascii="Calibri" w:hAnsi="Calibri" w:eastAsia="宋体" w:cs="Times New Roman"/>
          <w:kern w:val="2"/>
          <w:sz w:val="21"/>
          <w:szCs w:val="22"/>
          <w:lang w:val="en-US" w:eastAsia="zh-CN" w:bidi="ar-SA"/>
        </w:rPr>
        <w:drawing>
          <wp:inline distT="0" distB="0" distL="114300" distR="114300">
            <wp:extent cx="5039995" cy="2519680"/>
            <wp:effectExtent l="0" t="0" r="8255" b="13970"/>
            <wp:docPr id="28" name="图片 25"/>
            <wp:cNvGraphicFramePr/>
            <a:graphic xmlns:a="http://schemas.openxmlformats.org/drawingml/2006/main">
              <a:graphicData uri="http://schemas.openxmlformats.org/drawingml/2006/picture">
                <pic:pic xmlns:pic="http://schemas.openxmlformats.org/drawingml/2006/picture">
                  <pic:nvPicPr>
                    <pic:cNvPr id="28" name="图片 25"/>
                    <pic:cNvPicPr/>
                  </pic:nvPicPr>
                  <pic:blipFill>
                    <a:blip r:embed="rId7"/>
                    <a:stretch>
                      <a:fillRect/>
                    </a:stretch>
                  </pic:blipFill>
                  <pic:spPr>
                    <a:xfrm>
                      <a:off x="0" y="0"/>
                      <a:ext cx="5039995" cy="2519680"/>
                    </a:xfrm>
                    <a:prstGeom prst="rect">
                      <a:avLst/>
                    </a:prstGeom>
                    <a:noFill/>
                    <a:ln>
                      <a:noFill/>
                    </a:ln>
                  </pic:spPr>
                </pic:pic>
              </a:graphicData>
            </a:graphic>
          </wp:inline>
        </w:drawing>
      </w:r>
    </w:p>
    <w:p>
      <w:pPr>
        <w:widowControl w:val="0"/>
        <w:spacing w:line="360" w:lineRule="auto"/>
        <w:ind w:firstLine="0" w:firstLineChars="0"/>
        <w:jc w:val="center"/>
        <w:rPr>
          <w:rFonts w:hint="eastAsia" w:ascii="Times New Roman" w:hAnsi="Times New Roman" w:eastAsia="宋体" w:cs="Times New Roman"/>
          <w:kern w:val="2"/>
          <w:sz w:val="24"/>
          <w:szCs w:val="24"/>
          <w:lang w:val="en-US" w:eastAsia="zh-CN" w:bidi="ar-SA"/>
        </w:rPr>
      </w:pPr>
      <w:r>
        <w:rPr>
          <w:rFonts w:hint="eastAsia" w:ascii="Calibri" w:hAnsi="Calibri" w:eastAsia="宋体" w:cs="Times New Roman"/>
          <w:bCs/>
          <w:kern w:val="2"/>
          <w:sz w:val="21"/>
          <w:szCs w:val="22"/>
          <w:lang w:val="en-US" w:eastAsia="zh-CN" w:bidi="ar-SA"/>
        </w:rPr>
        <w:t>图</w:t>
      </w:r>
      <w:r>
        <w:rPr>
          <w:rFonts w:ascii="Calibri" w:hAnsi="Calibri" w:eastAsia="宋体" w:cs="Times New Roman"/>
          <w:bCs/>
          <w:kern w:val="2"/>
          <w:sz w:val="21"/>
          <w:szCs w:val="22"/>
          <w:lang w:val="en-US" w:eastAsia="zh-CN" w:bidi="ar-SA"/>
        </w:rPr>
        <w:t xml:space="preserve">4  </w:t>
      </w:r>
      <w:r>
        <w:rPr>
          <w:rFonts w:hint="eastAsia" w:ascii="Calibri" w:hAnsi="Calibri" w:eastAsia="宋体" w:cs="Times New Roman"/>
          <w:bCs/>
          <w:kern w:val="2"/>
          <w:sz w:val="21"/>
          <w:szCs w:val="22"/>
          <w:lang w:val="en-US" w:eastAsia="zh-CN" w:bidi="ar-SA"/>
        </w:rPr>
        <w:t>亚硫酸钠对照图谱</w:t>
      </w:r>
    </w:p>
    <w:p>
      <w:pPr>
        <w:widowControl w:val="0"/>
        <w:spacing w:line="360" w:lineRule="auto"/>
        <w:ind w:firstLine="0" w:firstLineChars="0"/>
        <w:jc w:val="both"/>
        <w:rPr>
          <w:rFonts w:hint="eastAsia" w:ascii="Times New Roman" w:hAnsi="Times New Roman" w:eastAsia="宋体" w:cs="Times New Roman"/>
          <w:kern w:val="2"/>
          <w:sz w:val="24"/>
          <w:szCs w:val="24"/>
          <w:lang w:val="en-US" w:eastAsia="zh-CN" w:bidi="ar-SA"/>
        </w:rPr>
      </w:pPr>
      <w:r>
        <w:rPr>
          <w:rFonts w:ascii="Calibri" w:hAnsi="Calibri" w:eastAsia="宋体" w:cs="Times New Roman"/>
          <w:kern w:val="2"/>
          <w:sz w:val="21"/>
          <w:szCs w:val="22"/>
          <w:lang w:val="en-US" w:eastAsia="zh-CN" w:bidi="ar-SA"/>
        </w:rPr>
        <w:drawing>
          <wp:inline distT="0" distB="0" distL="114300" distR="114300">
            <wp:extent cx="5039995" cy="2519680"/>
            <wp:effectExtent l="0" t="0" r="8255" b="13970"/>
            <wp:docPr id="24" name="图片 26"/>
            <wp:cNvGraphicFramePr/>
            <a:graphic xmlns:a="http://schemas.openxmlformats.org/drawingml/2006/main">
              <a:graphicData uri="http://schemas.openxmlformats.org/drawingml/2006/picture">
                <pic:pic xmlns:pic="http://schemas.openxmlformats.org/drawingml/2006/picture">
                  <pic:nvPicPr>
                    <pic:cNvPr id="24" name="图片 26"/>
                    <pic:cNvPicPr/>
                  </pic:nvPicPr>
                  <pic:blipFill>
                    <a:blip r:embed="rId8"/>
                    <a:stretch>
                      <a:fillRect/>
                    </a:stretch>
                  </pic:blipFill>
                  <pic:spPr>
                    <a:xfrm>
                      <a:off x="0" y="0"/>
                      <a:ext cx="5039995" cy="2519680"/>
                    </a:xfrm>
                    <a:prstGeom prst="rect">
                      <a:avLst/>
                    </a:prstGeom>
                    <a:noFill/>
                    <a:ln>
                      <a:noFill/>
                    </a:ln>
                  </pic:spPr>
                </pic:pic>
              </a:graphicData>
            </a:graphic>
          </wp:inline>
        </w:drawing>
      </w:r>
    </w:p>
    <w:p>
      <w:pPr>
        <w:widowControl w:val="0"/>
        <w:spacing w:line="360" w:lineRule="auto"/>
        <w:ind w:firstLine="0" w:firstLineChars="0"/>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图</w:t>
      </w:r>
      <w:r>
        <w:rPr>
          <w:rFonts w:ascii="Times New Roman" w:hAnsi="Times New Roman" w:eastAsia="宋体" w:cs="Times New Roman"/>
          <w:bCs/>
          <w:kern w:val="2"/>
          <w:sz w:val="21"/>
          <w:szCs w:val="21"/>
          <w:lang w:val="en-US" w:eastAsia="zh-CN" w:bidi="ar-SA"/>
        </w:rPr>
        <w:t>5</w:t>
      </w:r>
      <w:r>
        <w:rPr>
          <w:rFonts w:hint="eastAsia" w:ascii="Times New Roman" w:hAnsi="Times New Roman" w:eastAsia="宋体" w:cs="Times New Roman"/>
          <w:bCs/>
          <w:kern w:val="2"/>
          <w:sz w:val="21"/>
          <w:szCs w:val="21"/>
          <w:lang w:val="en-US" w:eastAsia="zh-CN" w:bidi="ar-SA"/>
        </w:rPr>
        <w:t xml:space="preserve"> </w:t>
      </w:r>
      <w:r>
        <w:rPr>
          <w:rFonts w:ascii="Times New Roman" w:hAnsi="Times New Roman" w:eastAsia="宋体" w:cs="Times New Roman"/>
          <w:bCs/>
          <w:kern w:val="2"/>
          <w:sz w:val="21"/>
          <w:szCs w:val="21"/>
          <w:lang w:val="en-US" w:eastAsia="zh-CN" w:bidi="ar-SA"/>
        </w:rPr>
        <w:t xml:space="preserve"> </w:t>
      </w:r>
      <w:r>
        <w:rPr>
          <w:rFonts w:hint="eastAsia" w:ascii="Times New Roman" w:hAnsi="Times New Roman" w:eastAsia="宋体" w:cs="Times New Roman"/>
          <w:bCs/>
          <w:kern w:val="2"/>
          <w:sz w:val="21"/>
          <w:szCs w:val="21"/>
          <w:lang w:val="en-US" w:eastAsia="zh-CN" w:bidi="ar-SA"/>
        </w:rPr>
        <w:t>硫酸钠对照图谱</w:t>
      </w:r>
    </w:p>
    <w:p>
      <w:pPr>
        <w:snapToGrid w:val="0"/>
        <w:spacing w:line="360" w:lineRule="auto"/>
        <w:jc w:val="center"/>
        <w:rPr>
          <w:rFonts w:ascii="宋体" w:hAnsi="宋体" w:cs="Times New Roman"/>
          <w:bCs/>
          <w:szCs w:val="21"/>
        </w:rPr>
      </w:pPr>
      <w:r>
        <w:rPr>
          <w:rFonts w:ascii="宋体" w:hAnsi="宋体" w:cs="Times New Roman"/>
          <w:bCs/>
          <w:szCs w:val="21"/>
        </w:rPr>
        <w:drawing>
          <wp:inline distT="0" distB="0" distL="114300" distR="114300">
            <wp:extent cx="5039995" cy="2519680"/>
            <wp:effectExtent l="0" t="0" r="8255" b="13970"/>
            <wp:docPr id="22" name="图片 27"/>
            <wp:cNvGraphicFramePr/>
            <a:graphic xmlns:a="http://schemas.openxmlformats.org/drawingml/2006/main">
              <a:graphicData uri="http://schemas.openxmlformats.org/drawingml/2006/picture">
                <pic:pic xmlns:pic="http://schemas.openxmlformats.org/drawingml/2006/picture">
                  <pic:nvPicPr>
                    <pic:cNvPr id="22" name="图片 27"/>
                    <pic:cNvPicPr/>
                  </pic:nvPicPr>
                  <pic:blipFill>
                    <a:blip r:embed="rId9"/>
                    <a:stretch>
                      <a:fillRect/>
                    </a:stretch>
                  </pic:blipFill>
                  <pic:spPr>
                    <a:xfrm>
                      <a:off x="0" y="0"/>
                      <a:ext cx="5039995" cy="2519680"/>
                    </a:xfrm>
                    <a:prstGeom prst="rect">
                      <a:avLst/>
                    </a:prstGeom>
                    <a:noFill/>
                    <a:ln>
                      <a:noFill/>
                    </a:ln>
                  </pic:spPr>
                </pic:pic>
              </a:graphicData>
            </a:graphic>
          </wp:inline>
        </w:drawing>
      </w:r>
    </w:p>
    <w:p>
      <w:pPr>
        <w:snapToGrid w:val="0"/>
        <w:spacing w:line="360" w:lineRule="auto"/>
        <w:jc w:val="center"/>
        <w:rPr>
          <w:rFonts w:hint="eastAsia" w:ascii="宋体" w:hAnsi="宋体" w:cs="Times New Roman"/>
          <w:bCs/>
          <w:szCs w:val="21"/>
        </w:rPr>
      </w:pPr>
      <w:r>
        <w:rPr>
          <w:rFonts w:hint="eastAsia" w:ascii="宋体" w:hAnsi="宋体" w:cs="Times New Roman"/>
          <w:bCs/>
          <w:szCs w:val="21"/>
        </w:rPr>
        <w:t>图</w:t>
      </w:r>
      <w:r>
        <w:rPr>
          <w:rFonts w:ascii="宋体" w:hAnsi="宋体" w:cs="Times New Roman"/>
          <w:bCs/>
          <w:szCs w:val="21"/>
        </w:rPr>
        <w:t xml:space="preserve">6 </w:t>
      </w:r>
      <w:r>
        <w:rPr>
          <w:rFonts w:hint="eastAsia" w:ascii="宋体" w:hAnsi="宋体" w:cs="Times New Roman"/>
          <w:bCs/>
          <w:szCs w:val="21"/>
        </w:rPr>
        <w:t xml:space="preserve"> </w:t>
      </w:r>
      <w:r>
        <w:rPr>
          <w:rFonts w:ascii="宋体" w:hAnsi="宋体" w:cs="Times New Roman"/>
          <w:bCs/>
          <w:szCs w:val="21"/>
        </w:rPr>
        <w:t>系统适用性</w:t>
      </w:r>
      <w:r>
        <w:rPr>
          <w:rFonts w:hint="eastAsia" w:ascii="宋体" w:hAnsi="宋体" w:cs="Times New Roman"/>
          <w:bCs/>
          <w:szCs w:val="21"/>
        </w:rPr>
        <w:t>图谱</w:t>
      </w:r>
    </w:p>
    <w:p>
      <w:pPr>
        <w:widowControl w:val="0"/>
        <w:spacing w:line="360" w:lineRule="auto"/>
        <w:ind w:firstLine="0" w:firstLineChars="0"/>
        <w:jc w:val="center"/>
        <w:rPr>
          <w:rFonts w:hint="eastAsia" w:ascii="Times New Roman" w:hAnsi="Times New Roman" w:eastAsia="宋体" w:cs="Times New Roman"/>
          <w:kern w:val="2"/>
          <w:sz w:val="24"/>
          <w:szCs w:val="24"/>
          <w:lang w:val="en-US" w:eastAsia="zh-CN" w:bidi="ar-SA"/>
        </w:rPr>
      </w:pPr>
    </w:p>
    <w:p>
      <w:pPr>
        <w:widowControl w:val="0"/>
        <w:spacing w:line="360" w:lineRule="auto"/>
        <w:ind w:firstLine="480" w:firstLineChars="200"/>
        <w:jc w:val="both"/>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2.3.3.4</w:t>
      </w:r>
      <w:r>
        <w:rPr>
          <w:rFonts w:ascii="Times New Roman" w:hAnsi="Times New Roman" w:eastAsia="宋体" w:cs="Times New Roman"/>
          <w:kern w:val="2"/>
          <w:sz w:val="24"/>
          <w:szCs w:val="24"/>
          <w:lang w:val="en-US" w:eastAsia="zh-CN" w:bidi="ar-SA"/>
        </w:rPr>
        <w:t>线性</w:t>
      </w:r>
      <w:r>
        <w:rPr>
          <w:rFonts w:hint="eastAsia" w:ascii="Times New Roman" w:hAnsi="Times New Roman" w:eastAsia="宋体" w:cs="Times New Roman"/>
          <w:kern w:val="2"/>
          <w:sz w:val="24"/>
          <w:szCs w:val="24"/>
          <w:lang w:val="en-US" w:eastAsia="zh-CN" w:bidi="ar-SA"/>
        </w:rPr>
        <w:t>试验</w:t>
      </w:r>
      <w:r>
        <w:rPr>
          <w:rFonts w:ascii="Times New Roman" w:hAnsi="Times New Roman" w:eastAsia="宋体" w:cs="Times New Roman"/>
          <w:kern w:val="2"/>
          <w:sz w:val="24"/>
          <w:szCs w:val="24"/>
          <w:lang w:val="en-US" w:eastAsia="zh-CN" w:bidi="ar-SA"/>
        </w:rPr>
        <w:t>结果</w:t>
      </w:r>
    </w:p>
    <w:p>
      <w:pPr>
        <w:widowControl w:val="0"/>
        <w:spacing w:line="360" w:lineRule="auto"/>
        <w:ind w:firstLine="480" w:firstLineChars="200"/>
        <w:jc w:val="both"/>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以浓度为横坐标，峰面积为纵坐标绘制曲线，亚硫酸根在0.1385</w:t>
      </w:r>
      <w:r>
        <w:rPr>
          <w:rFonts w:ascii="Times New Roman" w:hAnsi="Times New Roman" w:eastAsia="宋体" w:cs="Times New Roman"/>
          <w:kern w:val="2"/>
          <w:sz w:val="21"/>
          <w:szCs w:val="21"/>
          <w:lang w:val="en-US" w:eastAsia="zh-CN" w:bidi="ar-SA"/>
        </w:rPr>
        <w:t>μ</w:t>
      </w:r>
      <w:r>
        <w:rPr>
          <w:rFonts w:hint="eastAsia" w:ascii="Times New Roman" w:hAnsi="Times New Roman" w:eastAsia="宋体" w:cs="Times New Roman"/>
          <w:kern w:val="2"/>
          <w:sz w:val="24"/>
          <w:szCs w:val="24"/>
          <w:lang w:val="en-US" w:eastAsia="zh-CN" w:bidi="ar-SA"/>
        </w:rPr>
        <w:t>g/ml～5</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35385</w:t>
      </w:r>
      <w:r>
        <w:rPr>
          <w:rFonts w:ascii="Times New Roman" w:hAnsi="Times New Roman" w:eastAsia="宋体" w:cs="Times New Roman"/>
          <w:kern w:val="2"/>
          <w:sz w:val="21"/>
          <w:szCs w:val="21"/>
          <w:lang w:val="en-US" w:eastAsia="zh-CN" w:bidi="ar-SA"/>
        </w:rPr>
        <w:t>μ</w:t>
      </w:r>
      <w:r>
        <w:rPr>
          <w:rFonts w:hint="eastAsia" w:ascii="Times New Roman" w:hAnsi="Times New Roman" w:eastAsia="宋体" w:cs="Times New Roman"/>
          <w:kern w:val="2"/>
          <w:sz w:val="24"/>
          <w:szCs w:val="24"/>
          <w:lang w:val="en-US" w:eastAsia="zh-CN" w:bidi="ar-SA"/>
        </w:rPr>
        <w:t>g/ml浓度范围内，线性方程为y=0.0409x-0.0052，r=0.9991，线性关系良好。</w:t>
      </w:r>
    </w:p>
    <w:p>
      <w:pPr>
        <w:spacing w:line="360" w:lineRule="auto"/>
        <w:jc w:val="center"/>
        <w:rPr>
          <w:rFonts w:ascii="Times New Roman" w:hAnsi="Times New Roman" w:cs="Times New Roman"/>
          <w:sz w:val="24"/>
          <w:szCs w:val="24"/>
        </w:rPr>
      </w:pPr>
      <w:r>
        <w:rPr>
          <w:rFonts w:cs="Times New Roman"/>
          <w:szCs w:val="22"/>
        </w:rPr>
        <w:drawing>
          <wp:inline distT="0" distB="0" distL="114300" distR="114300">
            <wp:extent cx="2887345" cy="2275205"/>
            <wp:effectExtent l="0" t="0" r="8255" b="10795"/>
            <wp:docPr id="2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8"/>
                    <pic:cNvPicPr>
                      <a:picLocks noChangeAspect="1"/>
                    </pic:cNvPicPr>
                  </pic:nvPicPr>
                  <pic:blipFill>
                    <a:blip r:embed="rId10"/>
                    <a:stretch>
                      <a:fillRect/>
                    </a:stretch>
                  </pic:blipFill>
                  <pic:spPr>
                    <a:xfrm>
                      <a:off x="0" y="0"/>
                      <a:ext cx="2887345" cy="2275205"/>
                    </a:xfrm>
                    <a:prstGeom prst="rect">
                      <a:avLst/>
                    </a:prstGeom>
                    <a:noFill/>
                    <a:ln>
                      <a:noFill/>
                    </a:ln>
                  </pic:spPr>
                </pic:pic>
              </a:graphicData>
            </a:graphic>
          </wp:inline>
        </w:drawing>
      </w:r>
    </w:p>
    <w:p>
      <w:pPr>
        <w:spacing w:line="360" w:lineRule="auto"/>
        <w:jc w:val="center"/>
        <w:rPr>
          <w:rFonts w:ascii="Times New Roman" w:hAnsi="Times New Roman" w:cs="Times New Roman"/>
          <w:sz w:val="21"/>
          <w:szCs w:val="21"/>
        </w:rPr>
      </w:pPr>
      <w:r>
        <w:rPr>
          <w:rFonts w:ascii="Times New Roman" w:hAnsi="Times New Roman" w:cs="Times New Roman"/>
          <w:sz w:val="21"/>
          <w:szCs w:val="21"/>
        </w:rPr>
        <w:t>图</w:t>
      </w:r>
      <w:r>
        <w:rPr>
          <w:rFonts w:hint="eastAsia" w:ascii="Times New Roman" w:hAnsi="Times New Roman" w:cs="Times New Roman"/>
          <w:sz w:val="21"/>
          <w:szCs w:val="21"/>
        </w:rPr>
        <w:t>7</w:t>
      </w:r>
      <w:r>
        <w:rPr>
          <w:rFonts w:ascii="Times New Roman" w:hAnsi="Times New Roman" w:cs="Times New Roman"/>
          <w:sz w:val="21"/>
          <w:szCs w:val="21"/>
        </w:rPr>
        <w:t xml:space="preserve">  标准曲线</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2.3.3.5进样精密度试验结果</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取线性4溶液，重复进样6次（</w:t>
      </w:r>
      <w:r>
        <w:rPr>
          <w:rFonts w:ascii="Times New Roman" w:hAnsi="Times New Roman" w:cs="Times New Roman"/>
          <w:sz w:val="24"/>
          <w:szCs w:val="24"/>
        </w:rPr>
        <w:t>见表</w:t>
      </w:r>
      <w:r>
        <w:rPr>
          <w:rFonts w:hint="eastAsia" w:ascii="Times New Roman" w:hAnsi="Times New Roman" w:cs="Times New Roman"/>
          <w:sz w:val="24"/>
          <w:szCs w:val="24"/>
        </w:rPr>
        <w:t>6），</w:t>
      </w:r>
      <w:r>
        <w:rPr>
          <w:rFonts w:ascii="Times New Roman" w:hAnsi="Times New Roman" w:cs="Times New Roman"/>
          <w:sz w:val="24"/>
          <w:szCs w:val="24"/>
        </w:rPr>
        <w:t>峰面积的相对标准偏差为</w:t>
      </w:r>
      <w:r>
        <w:rPr>
          <w:rFonts w:hint="eastAsia" w:ascii="Times New Roman" w:hAnsi="Times New Roman" w:cs="Times New Roman"/>
          <w:sz w:val="24"/>
          <w:szCs w:val="24"/>
          <w:highlight w:val="none"/>
        </w:rPr>
        <w:t>2.6</w:t>
      </w:r>
      <w:r>
        <w:rPr>
          <w:rFonts w:ascii="Times New Roman" w:hAnsi="Times New Roman" w:cs="Times New Roman"/>
          <w:sz w:val="24"/>
          <w:szCs w:val="24"/>
          <w:highlight w:val="none"/>
        </w:rPr>
        <w:t>%</w:t>
      </w:r>
      <w:r>
        <w:rPr>
          <w:rFonts w:hint="eastAsia" w:ascii="Times New Roman" w:hAnsi="Times New Roman" w:cs="Times New Roman"/>
          <w:color w:val="auto"/>
          <w:sz w:val="24"/>
          <w:szCs w:val="24"/>
          <w:highlight w:val="none"/>
        </w:rPr>
        <w:t>，</w:t>
      </w:r>
      <w:r>
        <w:rPr>
          <w:rFonts w:ascii="Times New Roman" w:hAnsi="Times New Roman" w:cs="Times New Roman"/>
          <w:sz w:val="24"/>
          <w:szCs w:val="24"/>
        </w:rPr>
        <w:t>符合方法学的要求。</w:t>
      </w:r>
    </w:p>
    <w:p>
      <w:pPr>
        <w:spacing w:line="360" w:lineRule="auto"/>
        <w:ind w:firstLine="420" w:firstLineChars="200"/>
        <w:jc w:val="center"/>
        <w:rPr>
          <w:rFonts w:hint="eastAsia" w:ascii="Times New Roman" w:hAnsi="Times New Roman" w:cs="Times New Roman"/>
          <w:sz w:val="24"/>
          <w:szCs w:val="24"/>
        </w:rPr>
      </w:pPr>
      <w:r>
        <w:rPr>
          <w:rFonts w:ascii="宋体" w:hAnsi="宋体" w:cs="Times New Roman"/>
          <w:bCs/>
          <w:szCs w:val="21"/>
        </w:rPr>
        <w:t>表</w:t>
      </w:r>
      <w:r>
        <w:rPr>
          <w:rFonts w:hint="eastAsia" w:ascii="宋体" w:hAnsi="宋体" w:cs="Times New Roman"/>
          <w:bCs/>
          <w:szCs w:val="21"/>
        </w:rPr>
        <w:t>6</w:t>
      </w:r>
      <w:r>
        <w:rPr>
          <w:rFonts w:ascii="宋体" w:hAnsi="宋体" w:cs="Times New Roman"/>
          <w:bCs/>
          <w:szCs w:val="21"/>
        </w:rPr>
        <w:t xml:space="preserve">  </w:t>
      </w:r>
      <w:r>
        <w:rPr>
          <w:rFonts w:hint="eastAsia" w:ascii="宋体" w:hAnsi="宋体" w:cs="Times New Roman"/>
          <w:bCs/>
          <w:szCs w:val="21"/>
        </w:rPr>
        <w:t>精密度</w:t>
      </w:r>
      <w:r>
        <w:rPr>
          <w:rFonts w:ascii="宋体" w:hAnsi="宋体" w:cs="Times New Roman"/>
          <w:bCs/>
          <w:szCs w:val="21"/>
        </w:rPr>
        <w:t>结果</w:t>
      </w:r>
    </w:p>
    <w:tbl>
      <w:tblPr>
        <w:tblStyle w:val="2"/>
        <w:tblW w:w="0" w:type="auto"/>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8"/>
        <w:gridCol w:w="1218"/>
        <w:gridCol w:w="1218"/>
        <w:gridCol w:w="1218"/>
        <w:gridCol w:w="1218"/>
        <w:gridCol w:w="1219"/>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 w:val="24"/>
                <w:szCs w:val="24"/>
              </w:rPr>
              <w:t>进样次数</w:t>
            </w:r>
          </w:p>
        </w:tc>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 w:val="24"/>
                <w:szCs w:val="24"/>
              </w:rPr>
              <w:t>1</w:t>
            </w:r>
          </w:p>
        </w:tc>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 w:val="24"/>
                <w:szCs w:val="24"/>
              </w:rPr>
              <w:t>2</w:t>
            </w:r>
          </w:p>
        </w:tc>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 w:val="24"/>
                <w:szCs w:val="24"/>
              </w:rPr>
              <w:t>3</w:t>
            </w:r>
          </w:p>
        </w:tc>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 w:val="24"/>
                <w:szCs w:val="24"/>
              </w:rPr>
              <w:t>4</w:t>
            </w:r>
          </w:p>
        </w:tc>
        <w:tc>
          <w:tcPr>
            <w:tcW w:w="1219"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 w:val="24"/>
                <w:szCs w:val="24"/>
              </w:rPr>
              <w:t>5</w:t>
            </w:r>
          </w:p>
        </w:tc>
        <w:tc>
          <w:tcPr>
            <w:tcW w:w="1219"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 w:val="24"/>
                <w:szCs w:val="24"/>
              </w:rPr>
              <w:t>峰面积</w:t>
            </w:r>
          </w:p>
        </w:tc>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Cs w:val="21"/>
              </w:rPr>
              <w:t>0.04709</w:t>
            </w:r>
          </w:p>
        </w:tc>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Cs w:val="21"/>
              </w:rPr>
              <w:t>0.04647</w:t>
            </w:r>
          </w:p>
        </w:tc>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Cs w:val="21"/>
              </w:rPr>
              <w:t>0.04638</w:t>
            </w:r>
          </w:p>
        </w:tc>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Cs w:val="21"/>
              </w:rPr>
              <w:t>0.04532</w:t>
            </w:r>
          </w:p>
        </w:tc>
        <w:tc>
          <w:tcPr>
            <w:tcW w:w="1219"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Cs w:val="21"/>
              </w:rPr>
              <w:t>0.04436</w:t>
            </w:r>
          </w:p>
        </w:tc>
        <w:tc>
          <w:tcPr>
            <w:tcW w:w="1219"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Cs w:val="21"/>
              </w:rPr>
              <w:t>0.04421</w:t>
            </w:r>
          </w:p>
        </w:tc>
      </w:tr>
    </w:tbl>
    <w:p>
      <w:pPr>
        <w:widowControl w:val="0"/>
        <w:spacing w:line="360" w:lineRule="auto"/>
        <w:ind w:firstLine="480" w:firstLineChars="200"/>
        <w:jc w:val="both"/>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2.3.3.6</w:t>
      </w:r>
      <w:r>
        <w:rPr>
          <w:rFonts w:ascii="Times New Roman" w:hAnsi="Times New Roman" w:eastAsia="宋体" w:cs="Times New Roman"/>
          <w:kern w:val="2"/>
          <w:sz w:val="24"/>
          <w:szCs w:val="24"/>
          <w:lang w:val="en-US" w:eastAsia="zh-CN" w:bidi="ar-SA"/>
        </w:rPr>
        <w:t>准确度</w:t>
      </w:r>
      <w:r>
        <w:rPr>
          <w:rFonts w:hint="eastAsia" w:ascii="Times New Roman" w:hAnsi="Times New Roman" w:eastAsia="宋体" w:cs="Times New Roman"/>
          <w:kern w:val="2"/>
          <w:sz w:val="24"/>
          <w:szCs w:val="24"/>
          <w:lang w:val="en-US" w:eastAsia="zh-CN" w:bidi="ar-SA"/>
        </w:rPr>
        <w:t>试验</w:t>
      </w:r>
      <w:r>
        <w:rPr>
          <w:rFonts w:ascii="Times New Roman" w:hAnsi="Times New Roman" w:eastAsia="宋体" w:cs="Times New Roman"/>
          <w:kern w:val="2"/>
          <w:sz w:val="24"/>
          <w:szCs w:val="24"/>
          <w:lang w:val="en-US" w:eastAsia="zh-CN" w:bidi="ar-SA"/>
        </w:rPr>
        <w:t>结果</w:t>
      </w:r>
    </w:p>
    <w:p>
      <w:pPr>
        <w:snapToGrid w:val="0"/>
        <w:spacing w:line="360" w:lineRule="auto"/>
        <w:ind w:left="720"/>
        <w:jc w:val="center"/>
        <w:rPr>
          <w:rFonts w:ascii="宋体" w:hAnsi="宋体" w:cs="Times New Roman"/>
          <w:bCs/>
          <w:szCs w:val="21"/>
        </w:rPr>
      </w:pPr>
      <w:r>
        <w:rPr>
          <w:rFonts w:ascii="宋体" w:hAnsi="宋体" w:cs="Times New Roman"/>
          <w:bCs/>
          <w:szCs w:val="21"/>
        </w:rPr>
        <w:t>表</w:t>
      </w:r>
      <w:r>
        <w:rPr>
          <w:rFonts w:hint="eastAsia" w:ascii="宋体" w:hAnsi="宋体" w:cs="Times New Roman"/>
          <w:bCs/>
          <w:szCs w:val="21"/>
        </w:rPr>
        <w:t>7</w:t>
      </w:r>
      <w:r>
        <w:rPr>
          <w:rFonts w:ascii="宋体" w:hAnsi="宋体" w:cs="Times New Roman"/>
          <w:bCs/>
          <w:szCs w:val="21"/>
        </w:rPr>
        <w:t xml:space="preserve">  准确度</w:t>
      </w:r>
      <w:r>
        <w:rPr>
          <w:rFonts w:hint="eastAsia" w:ascii="宋体" w:hAnsi="宋体" w:cs="Times New Roman"/>
          <w:bCs/>
          <w:szCs w:val="21"/>
        </w:rPr>
        <w:t>试验</w:t>
      </w:r>
      <w:r>
        <w:rPr>
          <w:rFonts w:ascii="宋体" w:hAnsi="宋体" w:cs="Times New Roman"/>
          <w:bCs/>
          <w:szCs w:val="21"/>
        </w:rPr>
        <w:t>结果</w:t>
      </w:r>
    </w:p>
    <w:tbl>
      <w:tblPr>
        <w:tblStyle w:val="2"/>
        <w:tblW w:w="82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1060"/>
        <w:gridCol w:w="1116"/>
        <w:gridCol w:w="1211"/>
        <w:gridCol w:w="1211"/>
        <w:gridCol w:w="1075"/>
        <w:gridCol w:w="1087"/>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76" w:type="dxa"/>
            <w:noWrap/>
            <w:vAlign w:val="center"/>
          </w:tcPr>
          <w:p>
            <w:pPr>
              <w:widowControl/>
              <w:jc w:val="center"/>
              <w:textAlignment w:val="center"/>
              <w:rPr>
                <w:rFonts w:ascii="Times New Roman" w:hAnsi="Times New Roman" w:cs="Times New Roman"/>
                <w:color w:val="000000"/>
                <w:szCs w:val="21"/>
              </w:rPr>
            </w:pPr>
            <w:bookmarkStart w:id="2" w:name="_Hlk161352187"/>
            <w:r>
              <w:rPr>
                <w:rFonts w:ascii="Times New Roman" w:hAnsi="Times New Roman" w:cs="Times New Roman"/>
                <w:color w:val="000000"/>
                <w:kern w:val="0"/>
                <w:szCs w:val="21"/>
                <w:lang w:bidi="ar"/>
              </w:rPr>
              <w:t>水平</w:t>
            </w:r>
          </w:p>
        </w:tc>
        <w:tc>
          <w:tcPr>
            <w:tcW w:w="1060" w:type="dxa"/>
            <w:noWrap/>
            <w:vAlign w:val="center"/>
          </w:tcPr>
          <w:p>
            <w:pPr>
              <w:widowControl/>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lang w:bidi="ar"/>
              </w:rPr>
              <w:t>原有量</w:t>
            </w:r>
          </w:p>
          <w:p>
            <w:pPr>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lang w:bidi="ar"/>
              </w:rPr>
              <w:t>(</w:t>
            </w:r>
            <w:r>
              <w:rPr>
                <w:rFonts w:ascii="Times New Roman" w:hAnsi="Times New Roman" w:cs="Times New Roman"/>
                <w:szCs w:val="21"/>
              </w:rPr>
              <w:t>μ</w:t>
            </w:r>
            <w:r>
              <w:rPr>
                <w:rFonts w:ascii="Times New Roman" w:hAnsi="Times New Roman" w:cs="Times New Roman"/>
                <w:color w:val="000000"/>
                <w:kern w:val="0"/>
                <w:szCs w:val="21"/>
                <w:lang w:bidi="ar"/>
              </w:rPr>
              <w:t>g)</w:t>
            </w:r>
          </w:p>
        </w:tc>
        <w:tc>
          <w:tcPr>
            <w:tcW w:w="1116" w:type="dxa"/>
            <w:noWrap/>
            <w:vAlign w:val="center"/>
          </w:tcPr>
          <w:p>
            <w:pPr>
              <w:widowControl/>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lang w:bidi="ar"/>
              </w:rPr>
              <w:t>测得量</w:t>
            </w:r>
          </w:p>
          <w:p>
            <w:pPr>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lang w:bidi="ar"/>
              </w:rPr>
              <w:t>（</w:t>
            </w:r>
            <w:r>
              <w:rPr>
                <w:rFonts w:ascii="Times New Roman" w:hAnsi="Times New Roman" w:cs="Times New Roman"/>
                <w:szCs w:val="21"/>
              </w:rPr>
              <w:t>μ</w:t>
            </w:r>
            <w:r>
              <w:rPr>
                <w:rFonts w:ascii="Times New Roman" w:hAnsi="Times New Roman" w:cs="Times New Roman"/>
                <w:color w:val="000000"/>
                <w:kern w:val="0"/>
                <w:szCs w:val="21"/>
                <w:lang w:bidi="ar"/>
              </w:rPr>
              <w:t>g）</w:t>
            </w:r>
          </w:p>
        </w:tc>
        <w:tc>
          <w:tcPr>
            <w:tcW w:w="1211" w:type="dxa"/>
            <w:noWrap/>
            <w:vAlign w:val="center"/>
          </w:tcPr>
          <w:p>
            <w:pPr>
              <w:widowControl/>
              <w:tabs>
                <w:tab w:val="left" w:pos="482"/>
              </w:tabs>
              <w:jc w:val="center"/>
              <w:textAlignment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加入量</w:t>
            </w:r>
          </w:p>
          <w:p>
            <w:pPr>
              <w:jc w:val="center"/>
              <w:textAlignment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w:t>
            </w:r>
            <w:r>
              <w:rPr>
                <w:rFonts w:ascii="Times New Roman" w:hAnsi="Times New Roman" w:cs="Times New Roman"/>
                <w:szCs w:val="21"/>
              </w:rPr>
              <w:t>μ</w:t>
            </w:r>
            <w:r>
              <w:rPr>
                <w:rFonts w:ascii="Times New Roman" w:hAnsi="Times New Roman" w:cs="Times New Roman"/>
                <w:color w:val="000000"/>
                <w:kern w:val="0"/>
                <w:szCs w:val="21"/>
                <w:lang w:bidi="ar"/>
              </w:rPr>
              <w:t>g）</w:t>
            </w:r>
          </w:p>
        </w:tc>
        <w:tc>
          <w:tcPr>
            <w:tcW w:w="1211" w:type="dxa"/>
            <w:noWrap/>
            <w:vAlign w:val="center"/>
          </w:tcPr>
          <w:p>
            <w:pPr>
              <w:widowControl/>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lang w:bidi="ar"/>
              </w:rPr>
              <w:t>回收率</w:t>
            </w:r>
          </w:p>
          <w:p>
            <w:pPr>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lang w:bidi="ar"/>
              </w:rPr>
              <w:t>(%)</w:t>
            </w:r>
          </w:p>
        </w:tc>
        <w:tc>
          <w:tcPr>
            <w:tcW w:w="1075" w:type="dxa"/>
            <w:noWrap/>
            <w:vAlign w:val="center"/>
          </w:tcPr>
          <w:p>
            <w:pPr>
              <w:rPr>
                <w:rFonts w:cs="Times New Roman"/>
                <w:szCs w:val="22"/>
              </w:rPr>
            </w:pPr>
            <w:r>
              <w:rPr>
                <w:rFonts w:ascii="Times New Roman" w:hAnsi="Times New Roman" w:cs="Times New Roman"/>
                <w:color w:val="000000"/>
                <w:kern w:val="0"/>
                <w:szCs w:val="21"/>
                <w:lang w:bidi="ar"/>
              </w:rPr>
              <w:t>每份回收率</w:t>
            </w:r>
          </w:p>
          <w:p>
            <w:pPr>
              <w:widowControl w:val="0"/>
              <w:jc w:val="both"/>
              <w:textAlignment w:val="auto"/>
              <w:rPr>
                <w:rFonts w:ascii="Times New Roman" w:hAnsi="Times New Roman" w:cs="Times New Roman"/>
                <w:color w:val="000000"/>
                <w:szCs w:val="21"/>
              </w:rPr>
            </w:pPr>
            <w:r>
              <w:rPr>
                <w:rFonts w:ascii="Times New Roman" w:hAnsi="Times New Roman" w:cs="Times New Roman"/>
                <w:color w:val="000000"/>
                <w:kern w:val="0"/>
                <w:szCs w:val="21"/>
                <w:lang w:bidi="ar"/>
              </w:rPr>
              <w:t>（%）</w:t>
            </w:r>
          </w:p>
        </w:tc>
        <w:tc>
          <w:tcPr>
            <w:tcW w:w="1087" w:type="dxa"/>
            <w:noWrap/>
            <w:vAlign w:val="center"/>
          </w:tcPr>
          <w:p>
            <w:pPr>
              <w:rPr>
                <w:rFonts w:cs="Times New Roman"/>
                <w:szCs w:val="22"/>
              </w:rPr>
            </w:pPr>
            <w:r>
              <w:rPr>
                <w:rFonts w:ascii="Times New Roman" w:hAnsi="Times New Roman" w:cs="Times New Roman"/>
                <w:color w:val="000000"/>
                <w:kern w:val="0"/>
                <w:szCs w:val="21"/>
                <w:lang w:bidi="ar"/>
              </w:rPr>
              <w:t>平均回收率</w:t>
            </w:r>
          </w:p>
          <w:p>
            <w:pPr>
              <w:widowControl w:val="0"/>
              <w:jc w:val="both"/>
              <w:textAlignment w:val="auto"/>
              <w:rPr>
                <w:rFonts w:ascii="Times New Roman" w:hAnsi="Times New Roman" w:cs="Times New Roman"/>
                <w:color w:val="000000"/>
                <w:szCs w:val="21"/>
              </w:rPr>
            </w:pPr>
            <w:r>
              <w:rPr>
                <w:rFonts w:ascii="Times New Roman" w:hAnsi="Times New Roman" w:cs="Times New Roman"/>
                <w:color w:val="000000"/>
                <w:kern w:val="0"/>
                <w:szCs w:val="21"/>
                <w:lang w:bidi="ar"/>
              </w:rPr>
              <w:t>(%)</w:t>
            </w:r>
          </w:p>
        </w:tc>
        <w:tc>
          <w:tcPr>
            <w:tcW w:w="689" w:type="dxa"/>
            <w:noWrap/>
            <w:vAlign w:val="center"/>
          </w:tcPr>
          <w:p>
            <w:pPr>
              <w:widowControl/>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lang w:bidi="ar"/>
              </w:rPr>
              <w:t>RSD</w:t>
            </w:r>
          </w:p>
          <w:p>
            <w:pPr>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76" w:type="dxa"/>
            <w:vMerge w:val="restart"/>
            <w:noWrap/>
            <w:vAlign w:val="center"/>
          </w:tcPr>
          <w:p>
            <w:pPr>
              <w:widowControl/>
              <w:jc w:val="center"/>
              <w:textAlignment w:val="center"/>
              <w:rPr>
                <w:rFonts w:ascii="Times New Roman" w:hAnsi="Times New Roman" w:cs="Times New Roman"/>
                <w:color w:val="000000"/>
                <w:szCs w:val="21"/>
              </w:rPr>
            </w:pPr>
            <w:r>
              <w:rPr>
                <w:rFonts w:ascii="Times New Roman" w:hAnsi="Times New Roman" w:cs="Times New Roman"/>
                <w:color w:val="000000"/>
                <w:szCs w:val="21"/>
              </w:rPr>
              <w:t>100%</w:t>
            </w:r>
          </w:p>
        </w:tc>
        <w:tc>
          <w:tcPr>
            <w:tcW w:w="1060" w:type="dxa"/>
            <w:noWrap/>
            <w:vAlign w:val="center"/>
          </w:tcPr>
          <w:p>
            <w:pPr>
              <w:widowControl/>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lang w:bidi="ar"/>
              </w:rPr>
              <w:t>0.0000</w:t>
            </w:r>
          </w:p>
        </w:tc>
        <w:tc>
          <w:tcPr>
            <w:tcW w:w="1116" w:type="dxa"/>
            <w:noWrap/>
            <w:vAlign w:val="center"/>
          </w:tcPr>
          <w:p>
            <w:pPr>
              <w:widowControl/>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lang w:bidi="ar"/>
              </w:rPr>
              <w:t>5.2609</w:t>
            </w:r>
            <w:r>
              <w:rPr>
                <w:rFonts w:ascii="Times New Roman" w:hAnsi="Times New Roman" w:cs="Times New Roman"/>
                <w:color w:val="000000"/>
                <w:kern w:val="0"/>
                <w:szCs w:val="21"/>
                <w:lang w:bidi="ar"/>
              </w:rPr>
              <w:t xml:space="preserve"> </w:t>
            </w:r>
          </w:p>
        </w:tc>
        <w:tc>
          <w:tcPr>
            <w:tcW w:w="1211" w:type="dxa"/>
            <w:vMerge w:val="restart"/>
            <w:noWrap/>
            <w:vAlign w:val="center"/>
          </w:tcPr>
          <w:p>
            <w:pPr>
              <w:widowControl/>
              <w:jc w:val="center"/>
              <w:textAlignment w:val="center"/>
              <w:rPr>
                <w:rFonts w:ascii="Times New Roman" w:hAnsi="Times New Roman" w:cs="Times New Roman"/>
                <w:color w:val="000000"/>
                <w:kern w:val="0"/>
                <w:szCs w:val="21"/>
                <w:lang w:bidi="ar"/>
              </w:rPr>
            </w:pPr>
            <w:r>
              <w:rPr>
                <w:rFonts w:hint="eastAsia" w:ascii="Times New Roman" w:hAnsi="Times New Roman" w:cs="Times New Roman"/>
                <w:color w:val="000000"/>
                <w:kern w:val="0"/>
                <w:szCs w:val="21"/>
                <w:lang w:bidi="ar"/>
              </w:rPr>
              <w:t>4.9631</w:t>
            </w:r>
          </w:p>
        </w:tc>
        <w:tc>
          <w:tcPr>
            <w:tcW w:w="1211" w:type="dxa"/>
            <w:noWrap/>
            <w:vAlign w:val="center"/>
          </w:tcPr>
          <w:p>
            <w:pPr>
              <w:widowControl/>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lang w:bidi="ar"/>
              </w:rPr>
              <w:t>105.998</w:t>
            </w:r>
          </w:p>
        </w:tc>
        <w:tc>
          <w:tcPr>
            <w:tcW w:w="1075" w:type="dxa"/>
            <w:vMerge w:val="restart"/>
            <w:noWrap/>
            <w:vAlign w:val="center"/>
          </w:tcPr>
          <w:p>
            <w:pPr>
              <w:widowControl/>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lang w:bidi="ar"/>
              </w:rPr>
              <w:t>99.916</w:t>
            </w:r>
          </w:p>
        </w:tc>
        <w:tc>
          <w:tcPr>
            <w:tcW w:w="1087" w:type="dxa"/>
            <w:vMerge w:val="restart"/>
            <w:noWrap/>
            <w:vAlign w:val="center"/>
          </w:tcPr>
          <w:p>
            <w:pPr>
              <w:widowControl/>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lang w:bidi="ar"/>
              </w:rPr>
              <w:t>93.3</w:t>
            </w:r>
          </w:p>
        </w:tc>
        <w:tc>
          <w:tcPr>
            <w:tcW w:w="689" w:type="dxa"/>
            <w:vMerge w:val="restart"/>
            <w:noWrap/>
            <w:vAlign w:val="center"/>
          </w:tcPr>
          <w:p>
            <w:pPr>
              <w:widowControl/>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lang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76" w:type="dxa"/>
            <w:vMerge w:val="continue"/>
            <w:noWrap/>
            <w:vAlign w:val="center"/>
          </w:tcPr>
          <w:p>
            <w:pPr>
              <w:widowControl/>
              <w:jc w:val="center"/>
              <w:textAlignment w:val="center"/>
              <w:rPr>
                <w:rFonts w:ascii="Times New Roman" w:hAnsi="Times New Roman" w:cs="Times New Roman"/>
                <w:color w:val="000000"/>
                <w:szCs w:val="21"/>
              </w:rPr>
            </w:pPr>
          </w:p>
        </w:tc>
        <w:tc>
          <w:tcPr>
            <w:tcW w:w="1060" w:type="dxa"/>
            <w:noWrap/>
            <w:vAlign w:val="center"/>
          </w:tcPr>
          <w:p>
            <w:pPr>
              <w:widowControl/>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lang w:bidi="ar"/>
              </w:rPr>
              <w:t>0.0000</w:t>
            </w:r>
          </w:p>
        </w:tc>
        <w:tc>
          <w:tcPr>
            <w:tcW w:w="1116" w:type="dxa"/>
            <w:noWrap/>
            <w:vAlign w:val="center"/>
          </w:tcPr>
          <w:p>
            <w:pPr>
              <w:widowControl/>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lang w:bidi="ar"/>
              </w:rPr>
              <w:t>4.6571</w:t>
            </w:r>
            <w:r>
              <w:rPr>
                <w:rFonts w:ascii="Times New Roman" w:hAnsi="Times New Roman" w:cs="Times New Roman"/>
                <w:color w:val="000000"/>
                <w:kern w:val="0"/>
                <w:szCs w:val="21"/>
                <w:lang w:bidi="ar"/>
              </w:rPr>
              <w:t xml:space="preserve"> </w:t>
            </w:r>
          </w:p>
        </w:tc>
        <w:tc>
          <w:tcPr>
            <w:tcW w:w="1211" w:type="dxa"/>
            <w:vMerge w:val="continue"/>
            <w:noWrap/>
            <w:vAlign w:val="center"/>
          </w:tcPr>
          <w:p>
            <w:pPr>
              <w:widowControl/>
              <w:jc w:val="center"/>
              <w:textAlignment w:val="center"/>
              <w:rPr>
                <w:rFonts w:ascii="Times New Roman" w:hAnsi="Times New Roman" w:cs="Times New Roman"/>
                <w:color w:val="000000"/>
                <w:kern w:val="0"/>
                <w:szCs w:val="21"/>
                <w:lang w:bidi="ar"/>
              </w:rPr>
            </w:pPr>
          </w:p>
        </w:tc>
        <w:tc>
          <w:tcPr>
            <w:tcW w:w="1211" w:type="dxa"/>
            <w:noWrap/>
            <w:vAlign w:val="center"/>
          </w:tcPr>
          <w:p>
            <w:pPr>
              <w:widowControl/>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lang w:bidi="ar"/>
              </w:rPr>
              <w:t>93.833</w:t>
            </w:r>
          </w:p>
        </w:tc>
        <w:tc>
          <w:tcPr>
            <w:tcW w:w="1075" w:type="dxa"/>
            <w:vMerge w:val="continue"/>
            <w:noWrap/>
            <w:vAlign w:val="center"/>
          </w:tcPr>
          <w:p>
            <w:pPr>
              <w:jc w:val="center"/>
              <w:rPr>
                <w:rFonts w:ascii="Times New Roman" w:hAnsi="Times New Roman" w:cs="Times New Roman"/>
                <w:color w:val="000000"/>
                <w:szCs w:val="21"/>
              </w:rPr>
            </w:pPr>
          </w:p>
        </w:tc>
        <w:tc>
          <w:tcPr>
            <w:tcW w:w="1087" w:type="dxa"/>
            <w:vMerge w:val="continue"/>
            <w:noWrap/>
            <w:vAlign w:val="center"/>
          </w:tcPr>
          <w:p>
            <w:pPr>
              <w:jc w:val="center"/>
              <w:rPr>
                <w:rFonts w:ascii="Times New Roman" w:hAnsi="Times New Roman" w:cs="Times New Roman"/>
                <w:color w:val="000000"/>
                <w:szCs w:val="21"/>
              </w:rPr>
            </w:pPr>
          </w:p>
        </w:tc>
        <w:tc>
          <w:tcPr>
            <w:tcW w:w="689" w:type="dxa"/>
            <w:vMerge w:val="continue"/>
            <w:noWrap/>
            <w:vAlign w:val="center"/>
          </w:tcPr>
          <w:p>
            <w:pPr>
              <w:jc w:val="center"/>
              <w:rPr>
                <w:rFonts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6" w:type="dxa"/>
            <w:vMerge w:val="continue"/>
            <w:noWrap/>
            <w:vAlign w:val="center"/>
          </w:tcPr>
          <w:p>
            <w:pPr>
              <w:widowControl/>
              <w:jc w:val="center"/>
              <w:textAlignment w:val="center"/>
              <w:rPr>
                <w:rFonts w:ascii="Times New Roman" w:hAnsi="Times New Roman" w:cs="Times New Roman"/>
                <w:color w:val="000000"/>
                <w:szCs w:val="21"/>
              </w:rPr>
            </w:pPr>
          </w:p>
        </w:tc>
        <w:tc>
          <w:tcPr>
            <w:tcW w:w="1060" w:type="dxa"/>
            <w:noWrap/>
            <w:vAlign w:val="center"/>
          </w:tcPr>
          <w:p>
            <w:pPr>
              <w:widowControl/>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lang w:bidi="ar"/>
              </w:rPr>
              <w:t>0.0000</w:t>
            </w:r>
          </w:p>
        </w:tc>
        <w:tc>
          <w:tcPr>
            <w:tcW w:w="1116" w:type="dxa"/>
            <w:noWrap/>
            <w:vAlign w:val="center"/>
          </w:tcPr>
          <w:p>
            <w:pPr>
              <w:widowControl/>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lang w:bidi="ar"/>
              </w:rPr>
              <w:t>4.7314</w:t>
            </w:r>
            <w:r>
              <w:rPr>
                <w:rFonts w:ascii="Times New Roman" w:hAnsi="Times New Roman" w:cs="Times New Roman"/>
                <w:color w:val="000000"/>
                <w:kern w:val="0"/>
                <w:szCs w:val="21"/>
                <w:lang w:bidi="ar"/>
              </w:rPr>
              <w:t xml:space="preserve"> </w:t>
            </w:r>
          </w:p>
        </w:tc>
        <w:tc>
          <w:tcPr>
            <w:tcW w:w="1211" w:type="dxa"/>
            <w:vMerge w:val="continue"/>
            <w:noWrap/>
            <w:vAlign w:val="center"/>
          </w:tcPr>
          <w:p>
            <w:pPr>
              <w:widowControl/>
              <w:jc w:val="center"/>
              <w:textAlignment w:val="center"/>
              <w:rPr>
                <w:rFonts w:ascii="Times New Roman" w:hAnsi="Times New Roman" w:cs="Times New Roman"/>
                <w:color w:val="000000"/>
                <w:kern w:val="0"/>
                <w:szCs w:val="21"/>
                <w:lang w:bidi="ar"/>
              </w:rPr>
            </w:pPr>
          </w:p>
        </w:tc>
        <w:tc>
          <w:tcPr>
            <w:tcW w:w="1211" w:type="dxa"/>
            <w:noWrap/>
            <w:vAlign w:val="center"/>
          </w:tcPr>
          <w:p>
            <w:pPr>
              <w:widowControl/>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lang w:bidi="ar"/>
              </w:rPr>
              <w:t>95.331</w:t>
            </w:r>
          </w:p>
        </w:tc>
        <w:tc>
          <w:tcPr>
            <w:tcW w:w="1075" w:type="dxa"/>
            <w:vMerge w:val="restart"/>
            <w:noWrap/>
            <w:vAlign w:val="center"/>
          </w:tcPr>
          <w:p>
            <w:pPr>
              <w:widowControl/>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lang w:bidi="ar"/>
              </w:rPr>
              <w:t>92.681</w:t>
            </w:r>
          </w:p>
        </w:tc>
        <w:tc>
          <w:tcPr>
            <w:tcW w:w="1087" w:type="dxa"/>
            <w:vMerge w:val="continue"/>
            <w:noWrap/>
            <w:vAlign w:val="center"/>
          </w:tcPr>
          <w:p>
            <w:pPr>
              <w:jc w:val="center"/>
              <w:rPr>
                <w:rFonts w:ascii="Times New Roman" w:hAnsi="Times New Roman" w:cs="Times New Roman"/>
                <w:color w:val="000000"/>
                <w:szCs w:val="21"/>
              </w:rPr>
            </w:pPr>
          </w:p>
        </w:tc>
        <w:tc>
          <w:tcPr>
            <w:tcW w:w="689" w:type="dxa"/>
            <w:vMerge w:val="continue"/>
            <w:noWrap/>
            <w:vAlign w:val="center"/>
          </w:tcPr>
          <w:p>
            <w:pPr>
              <w:jc w:val="center"/>
              <w:rPr>
                <w:rFonts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76" w:type="dxa"/>
            <w:vMerge w:val="continue"/>
            <w:noWrap/>
            <w:vAlign w:val="center"/>
          </w:tcPr>
          <w:p>
            <w:pPr>
              <w:widowControl/>
              <w:jc w:val="center"/>
              <w:textAlignment w:val="center"/>
              <w:rPr>
                <w:rFonts w:ascii="Times New Roman" w:hAnsi="Times New Roman" w:cs="Times New Roman"/>
                <w:color w:val="000000"/>
                <w:szCs w:val="21"/>
              </w:rPr>
            </w:pPr>
          </w:p>
        </w:tc>
        <w:tc>
          <w:tcPr>
            <w:tcW w:w="1060" w:type="dxa"/>
            <w:noWrap/>
            <w:vAlign w:val="center"/>
          </w:tcPr>
          <w:p>
            <w:pPr>
              <w:widowControl/>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lang w:bidi="ar"/>
              </w:rPr>
              <w:t>0.0000</w:t>
            </w:r>
          </w:p>
        </w:tc>
        <w:tc>
          <w:tcPr>
            <w:tcW w:w="1116" w:type="dxa"/>
            <w:noWrap/>
            <w:vAlign w:val="center"/>
          </w:tcPr>
          <w:p>
            <w:pPr>
              <w:widowControl/>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lang w:bidi="ar"/>
              </w:rPr>
              <w:t>4.4684</w:t>
            </w:r>
            <w:r>
              <w:rPr>
                <w:rFonts w:ascii="Times New Roman" w:hAnsi="Times New Roman" w:cs="Times New Roman"/>
                <w:color w:val="000000"/>
                <w:kern w:val="0"/>
                <w:szCs w:val="21"/>
                <w:lang w:bidi="ar"/>
              </w:rPr>
              <w:t xml:space="preserve"> </w:t>
            </w:r>
          </w:p>
        </w:tc>
        <w:tc>
          <w:tcPr>
            <w:tcW w:w="1211" w:type="dxa"/>
            <w:vMerge w:val="continue"/>
            <w:noWrap/>
            <w:vAlign w:val="center"/>
          </w:tcPr>
          <w:p>
            <w:pPr>
              <w:widowControl/>
              <w:jc w:val="center"/>
              <w:textAlignment w:val="center"/>
              <w:rPr>
                <w:rFonts w:ascii="Times New Roman" w:hAnsi="Times New Roman" w:cs="Times New Roman"/>
                <w:color w:val="000000"/>
                <w:kern w:val="0"/>
                <w:szCs w:val="21"/>
                <w:lang w:bidi="ar"/>
              </w:rPr>
            </w:pPr>
          </w:p>
        </w:tc>
        <w:tc>
          <w:tcPr>
            <w:tcW w:w="1211" w:type="dxa"/>
            <w:noWrap/>
            <w:vAlign w:val="center"/>
          </w:tcPr>
          <w:p>
            <w:pPr>
              <w:widowControl/>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lang w:bidi="ar"/>
              </w:rPr>
              <w:t>90.031</w:t>
            </w:r>
          </w:p>
        </w:tc>
        <w:tc>
          <w:tcPr>
            <w:tcW w:w="1075" w:type="dxa"/>
            <w:vMerge w:val="continue"/>
            <w:noWrap/>
            <w:vAlign w:val="center"/>
          </w:tcPr>
          <w:p>
            <w:pPr>
              <w:jc w:val="center"/>
              <w:rPr>
                <w:rFonts w:ascii="Times New Roman" w:hAnsi="Times New Roman" w:cs="Times New Roman"/>
                <w:color w:val="000000"/>
                <w:szCs w:val="21"/>
              </w:rPr>
            </w:pPr>
          </w:p>
        </w:tc>
        <w:tc>
          <w:tcPr>
            <w:tcW w:w="1087" w:type="dxa"/>
            <w:vMerge w:val="continue"/>
            <w:noWrap/>
            <w:vAlign w:val="center"/>
          </w:tcPr>
          <w:p>
            <w:pPr>
              <w:jc w:val="center"/>
              <w:rPr>
                <w:rFonts w:ascii="Times New Roman" w:hAnsi="Times New Roman" w:cs="Times New Roman"/>
                <w:color w:val="000000"/>
                <w:szCs w:val="21"/>
              </w:rPr>
            </w:pPr>
          </w:p>
        </w:tc>
        <w:tc>
          <w:tcPr>
            <w:tcW w:w="689" w:type="dxa"/>
            <w:vMerge w:val="continue"/>
            <w:noWrap/>
            <w:vAlign w:val="center"/>
          </w:tcPr>
          <w:p>
            <w:pPr>
              <w:jc w:val="center"/>
              <w:rPr>
                <w:rFonts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76" w:type="dxa"/>
            <w:vMerge w:val="continue"/>
            <w:noWrap/>
            <w:vAlign w:val="center"/>
          </w:tcPr>
          <w:p>
            <w:pPr>
              <w:widowControl/>
              <w:jc w:val="center"/>
              <w:textAlignment w:val="center"/>
              <w:rPr>
                <w:rFonts w:ascii="Times New Roman" w:hAnsi="Times New Roman" w:cs="Times New Roman"/>
                <w:color w:val="000000"/>
                <w:szCs w:val="21"/>
              </w:rPr>
            </w:pPr>
          </w:p>
        </w:tc>
        <w:tc>
          <w:tcPr>
            <w:tcW w:w="1060" w:type="dxa"/>
            <w:noWrap/>
            <w:vAlign w:val="center"/>
          </w:tcPr>
          <w:p>
            <w:pPr>
              <w:widowControl/>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lang w:bidi="ar"/>
              </w:rPr>
              <w:t>0.0000</w:t>
            </w:r>
          </w:p>
        </w:tc>
        <w:tc>
          <w:tcPr>
            <w:tcW w:w="1116" w:type="dxa"/>
            <w:noWrap/>
            <w:vAlign w:val="center"/>
          </w:tcPr>
          <w:p>
            <w:pPr>
              <w:widowControl/>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lang w:bidi="ar"/>
              </w:rPr>
              <w:t>4.5239</w:t>
            </w:r>
            <w:r>
              <w:rPr>
                <w:rFonts w:ascii="Times New Roman" w:hAnsi="Times New Roman" w:cs="Times New Roman"/>
                <w:color w:val="000000"/>
                <w:kern w:val="0"/>
                <w:szCs w:val="21"/>
                <w:lang w:bidi="ar"/>
              </w:rPr>
              <w:t xml:space="preserve"> </w:t>
            </w:r>
          </w:p>
        </w:tc>
        <w:tc>
          <w:tcPr>
            <w:tcW w:w="1211" w:type="dxa"/>
            <w:vMerge w:val="continue"/>
            <w:noWrap/>
            <w:vAlign w:val="center"/>
          </w:tcPr>
          <w:p>
            <w:pPr>
              <w:widowControl/>
              <w:jc w:val="center"/>
              <w:textAlignment w:val="center"/>
              <w:rPr>
                <w:rFonts w:ascii="Times New Roman" w:hAnsi="Times New Roman" w:cs="Times New Roman"/>
                <w:color w:val="000000"/>
                <w:kern w:val="0"/>
                <w:szCs w:val="21"/>
                <w:lang w:bidi="ar"/>
              </w:rPr>
            </w:pPr>
          </w:p>
        </w:tc>
        <w:tc>
          <w:tcPr>
            <w:tcW w:w="1211" w:type="dxa"/>
            <w:noWrap/>
            <w:vAlign w:val="center"/>
          </w:tcPr>
          <w:p>
            <w:pPr>
              <w:widowControl/>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lang w:bidi="ar"/>
              </w:rPr>
              <w:t>91.150</w:t>
            </w:r>
          </w:p>
        </w:tc>
        <w:tc>
          <w:tcPr>
            <w:tcW w:w="1075" w:type="dxa"/>
            <w:vMerge w:val="restart"/>
            <w:noWrap/>
            <w:vAlign w:val="center"/>
          </w:tcPr>
          <w:p>
            <w:pPr>
              <w:widowControl/>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lang w:bidi="ar"/>
              </w:rPr>
              <w:t>90.199</w:t>
            </w:r>
          </w:p>
        </w:tc>
        <w:tc>
          <w:tcPr>
            <w:tcW w:w="1087" w:type="dxa"/>
            <w:vMerge w:val="continue"/>
            <w:noWrap/>
            <w:vAlign w:val="center"/>
          </w:tcPr>
          <w:p>
            <w:pPr>
              <w:jc w:val="center"/>
              <w:rPr>
                <w:rFonts w:ascii="Times New Roman" w:hAnsi="Times New Roman" w:cs="Times New Roman"/>
                <w:color w:val="000000"/>
                <w:szCs w:val="21"/>
              </w:rPr>
            </w:pPr>
          </w:p>
        </w:tc>
        <w:tc>
          <w:tcPr>
            <w:tcW w:w="689" w:type="dxa"/>
            <w:vMerge w:val="continue"/>
            <w:noWrap/>
            <w:vAlign w:val="center"/>
          </w:tcPr>
          <w:p>
            <w:pPr>
              <w:jc w:val="center"/>
              <w:rPr>
                <w:rFonts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76" w:type="dxa"/>
            <w:vMerge w:val="continue"/>
            <w:noWrap/>
            <w:vAlign w:val="center"/>
          </w:tcPr>
          <w:p>
            <w:pPr>
              <w:widowControl/>
              <w:jc w:val="center"/>
              <w:textAlignment w:val="center"/>
              <w:rPr>
                <w:rFonts w:ascii="Times New Roman" w:hAnsi="Times New Roman" w:cs="Times New Roman"/>
                <w:color w:val="000000"/>
                <w:szCs w:val="21"/>
              </w:rPr>
            </w:pPr>
          </w:p>
        </w:tc>
        <w:tc>
          <w:tcPr>
            <w:tcW w:w="1060" w:type="dxa"/>
            <w:noWrap/>
            <w:vAlign w:val="center"/>
          </w:tcPr>
          <w:p>
            <w:pPr>
              <w:widowControl/>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lang w:bidi="ar"/>
              </w:rPr>
              <w:t>0.0000</w:t>
            </w:r>
          </w:p>
        </w:tc>
        <w:tc>
          <w:tcPr>
            <w:tcW w:w="1116" w:type="dxa"/>
            <w:noWrap/>
            <w:vAlign w:val="center"/>
          </w:tcPr>
          <w:p>
            <w:pPr>
              <w:widowControl/>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lang w:bidi="ar"/>
              </w:rPr>
              <w:t>4.4295</w:t>
            </w:r>
            <w:r>
              <w:rPr>
                <w:rFonts w:ascii="Times New Roman" w:hAnsi="Times New Roman" w:cs="Times New Roman"/>
                <w:color w:val="000000"/>
                <w:kern w:val="0"/>
                <w:szCs w:val="21"/>
                <w:lang w:bidi="ar"/>
              </w:rPr>
              <w:t xml:space="preserve"> </w:t>
            </w:r>
          </w:p>
        </w:tc>
        <w:tc>
          <w:tcPr>
            <w:tcW w:w="1211" w:type="dxa"/>
            <w:vMerge w:val="continue"/>
            <w:noWrap/>
            <w:vAlign w:val="center"/>
          </w:tcPr>
          <w:p>
            <w:pPr>
              <w:widowControl/>
              <w:jc w:val="center"/>
              <w:textAlignment w:val="center"/>
              <w:rPr>
                <w:rFonts w:ascii="Times New Roman" w:hAnsi="Times New Roman" w:cs="Times New Roman"/>
                <w:color w:val="000000"/>
                <w:kern w:val="0"/>
                <w:szCs w:val="21"/>
                <w:lang w:bidi="ar"/>
              </w:rPr>
            </w:pPr>
          </w:p>
        </w:tc>
        <w:tc>
          <w:tcPr>
            <w:tcW w:w="1211" w:type="dxa"/>
            <w:noWrap/>
            <w:vAlign w:val="center"/>
          </w:tcPr>
          <w:p>
            <w:pPr>
              <w:widowControl/>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lang w:bidi="ar"/>
              </w:rPr>
              <w:t>89.249</w:t>
            </w:r>
          </w:p>
        </w:tc>
        <w:tc>
          <w:tcPr>
            <w:tcW w:w="1075" w:type="dxa"/>
            <w:vMerge w:val="continue"/>
            <w:noWrap/>
            <w:vAlign w:val="center"/>
          </w:tcPr>
          <w:p>
            <w:pPr>
              <w:jc w:val="center"/>
              <w:rPr>
                <w:rFonts w:ascii="Times New Roman" w:hAnsi="Times New Roman" w:cs="Times New Roman"/>
                <w:color w:val="000000"/>
                <w:szCs w:val="21"/>
              </w:rPr>
            </w:pPr>
          </w:p>
        </w:tc>
        <w:tc>
          <w:tcPr>
            <w:tcW w:w="1087" w:type="dxa"/>
            <w:vMerge w:val="continue"/>
            <w:noWrap/>
            <w:vAlign w:val="center"/>
          </w:tcPr>
          <w:p>
            <w:pPr>
              <w:jc w:val="center"/>
              <w:rPr>
                <w:rFonts w:ascii="Times New Roman" w:hAnsi="Times New Roman" w:cs="Times New Roman"/>
                <w:color w:val="000000"/>
                <w:szCs w:val="21"/>
              </w:rPr>
            </w:pPr>
          </w:p>
        </w:tc>
        <w:tc>
          <w:tcPr>
            <w:tcW w:w="689" w:type="dxa"/>
            <w:vMerge w:val="continue"/>
            <w:noWrap/>
            <w:vAlign w:val="center"/>
          </w:tcPr>
          <w:p>
            <w:pPr>
              <w:jc w:val="center"/>
              <w:rPr>
                <w:rFonts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76" w:type="dxa"/>
            <w:vMerge w:val="continue"/>
            <w:noWrap/>
            <w:vAlign w:val="center"/>
          </w:tcPr>
          <w:p>
            <w:pPr>
              <w:widowControl/>
              <w:jc w:val="center"/>
              <w:textAlignment w:val="center"/>
              <w:rPr>
                <w:rFonts w:ascii="Times New Roman" w:hAnsi="Times New Roman" w:cs="Times New Roman"/>
                <w:color w:val="000000"/>
                <w:szCs w:val="21"/>
              </w:rPr>
            </w:pPr>
          </w:p>
        </w:tc>
        <w:tc>
          <w:tcPr>
            <w:tcW w:w="1060" w:type="dxa"/>
            <w:noWrap/>
            <w:vAlign w:val="center"/>
          </w:tcPr>
          <w:p>
            <w:pPr>
              <w:widowControl/>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lang w:bidi="ar"/>
              </w:rPr>
              <w:t>0.0000</w:t>
            </w:r>
          </w:p>
        </w:tc>
        <w:tc>
          <w:tcPr>
            <w:tcW w:w="1116" w:type="dxa"/>
            <w:noWrap/>
            <w:vAlign w:val="center"/>
          </w:tcPr>
          <w:p>
            <w:pPr>
              <w:widowControl/>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lang w:bidi="ar"/>
              </w:rPr>
              <w:t>4.3019</w:t>
            </w:r>
            <w:r>
              <w:rPr>
                <w:rFonts w:ascii="Times New Roman" w:hAnsi="Times New Roman" w:cs="Times New Roman"/>
                <w:color w:val="000000"/>
                <w:kern w:val="0"/>
                <w:szCs w:val="21"/>
                <w:lang w:bidi="ar"/>
              </w:rPr>
              <w:t xml:space="preserve"> </w:t>
            </w:r>
          </w:p>
        </w:tc>
        <w:tc>
          <w:tcPr>
            <w:tcW w:w="1211" w:type="dxa"/>
            <w:vMerge w:val="continue"/>
            <w:noWrap/>
            <w:vAlign w:val="center"/>
          </w:tcPr>
          <w:p>
            <w:pPr>
              <w:widowControl/>
              <w:jc w:val="center"/>
              <w:textAlignment w:val="center"/>
              <w:rPr>
                <w:rFonts w:ascii="Times New Roman" w:hAnsi="Times New Roman" w:cs="Times New Roman"/>
                <w:color w:val="000000"/>
                <w:kern w:val="0"/>
                <w:szCs w:val="21"/>
                <w:lang w:bidi="ar"/>
              </w:rPr>
            </w:pPr>
          </w:p>
        </w:tc>
        <w:tc>
          <w:tcPr>
            <w:tcW w:w="1211" w:type="dxa"/>
            <w:noWrap/>
            <w:vAlign w:val="center"/>
          </w:tcPr>
          <w:p>
            <w:pPr>
              <w:widowControl/>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lang w:bidi="ar"/>
              </w:rPr>
              <w:t>86.677</w:t>
            </w:r>
          </w:p>
        </w:tc>
        <w:tc>
          <w:tcPr>
            <w:tcW w:w="1075" w:type="dxa"/>
            <w:vMerge w:val="restart"/>
            <w:noWrap/>
            <w:vAlign w:val="center"/>
          </w:tcPr>
          <w:p>
            <w:pPr>
              <w:widowControl/>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lang w:bidi="ar"/>
              </w:rPr>
              <w:t>88.846</w:t>
            </w:r>
          </w:p>
        </w:tc>
        <w:tc>
          <w:tcPr>
            <w:tcW w:w="1087" w:type="dxa"/>
            <w:vMerge w:val="continue"/>
            <w:noWrap/>
            <w:vAlign w:val="center"/>
          </w:tcPr>
          <w:p>
            <w:pPr>
              <w:jc w:val="center"/>
              <w:rPr>
                <w:rFonts w:ascii="Times New Roman" w:hAnsi="Times New Roman" w:cs="Times New Roman"/>
                <w:color w:val="000000"/>
                <w:szCs w:val="21"/>
              </w:rPr>
            </w:pPr>
          </w:p>
        </w:tc>
        <w:tc>
          <w:tcPr>
            <w:tcW w:w="689" w:type="dxa"/>
            <w:vMerge w:val="continue"/>
            <w:noWrap/>
            <w:vAlign w:val="center"/>
          </w:tcPr>
          <w:p>
            <w:pPr>
              <w:jc w:val="center"/>
              <w:rPr>
                <w:rFonts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76" w:type="dxa"/>
            <w:vMerge w:val="continue"/>
            <w:noWrap/>
            <w:vAlign w:val="center"/>
          </w:tcPr>
          <w:p>
            <w:pPr>
              <w:widowControl/>
              <w:jc w:val="center"/>
              <w:textAlignment w:val="center"/>
              <w:rPr>
                <w:rFonts w:ascii="Times New Roman" w:hAnsi="Times New Roman" w:cs="Times New Roman"/>
                <w:color w:val="000000"/>
                <w:szCs w:val="21"/>
              </w:rPr>
            </w:pPr>
          </w:p>
        </w:tc>
        <w:tc>
          <w:tcPr>
            <w:tcW w:w="1060" w:type="dxa"/>
            <w:noWrap/>
            <w:vAlign w:val="center"/>
          </w:tcPr>
          <w:p>
            <w:pPr>
              <w:widowControl/>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lang w:bidi="ar"/>
              </w:rPr>
              <w:t>0.0000</w:t>
            </w:r>
          </w:p>
        </w:tc>
        <w:tc>
          <w:tcPr>
            <w:tcW w:w="1116" w:type="dxa"/>
            <w:noWrap/>
            <w:vAlign w:val="center"/>
          </w:tcPr>
          <w:p>
            <w:pPr>
              <w:widowControl/>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lang w:bidi="ar"/>
              </w:rPr>
              <w:t>4.5172</w:t>
            </w:r>
            <w:r>
              <w:rPr>
                <w:rFonts w:ascii="Times New Roman" w:hAnsi="Times New Roman" w:cs="Times New Roman"/>
                <w:color w:val="000000"/>
                <w:kern w:val="0"/>
                <w:szCs w:val="21"/>
                <w:lang w:bidi="ar"/>
              </w:rPr>
              <w:t xml:space="preserve"> </w:t>
            </w:r>
          </w:p>
        </w:tc>
        <w:tc>
          <w:tcPr>
            <w:tcW w:w="1211" w:type="dxa"/>
            <w:vMerge w:val="continue"/>
            <w:noWrap/>
            <w:vAlign w:val="center"/>
          </w:tcPr>
          <w:p>
            <w:pPr>
              <w:widowControl/>
              <w:jc w:val="center"/>
              <w:textAlignment w:val="center"/>
              <w:rPr>
                <w:rFonts w:ascii="Times New Roman" w:hAnsi="Times New Roman" w:cs="Times New Roman"/>
                <w:color w:val="000000"/>
                <w:kern w:val="0"/>
                <w:szCs w:val="21"/>
                <w:lang w:bidi="ar"/>
              </w:rPr>
            </w:pPr>
          </w:p>
        </w:tc>
        <w:tc>
          <w:tcPr>
            <w:tcW w:w="1211" w:type="dxa"/>
            <w:noWrap/>
            <w:vAlign w:val="center"/>
          </w:tcPr>
          <w:p>
            <w:pPr>
              <w:widowControl/>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lang w:bidi="ar"/>
              </w:rPr>
              <w:t>91.015</w:t>
            </w:r>
          </w:p>
        </w:tc>
        <w:tc>
          <w:tcPr>
            <w:tcW w:w="1075" w:type="dxa"/>
            <w:vMerge w:val="continue"/>
            <w:noWrap/>
            <w:vAlign w:val="center"/>
          </w:tcPr>
          <w:p>
            <w:pPr>
              <w:jc w:val="center"/>
              <w:rPr>
                <w:rFonts w:ascii="Times New Roman" w:hAnsi="Times New Roman" w:cs="Times New Roman"/>
                <w:color w:val="000000"/>
                <w:szCs w:val="21"/>
              </w:rPr>
            </w:pPr>
          </w:p>
        </w:tc>
        <w:tc>
          <w:tcPr>
            <w:tcW w:w="1087" w:type="dxa"/>
            <w:vMerge w:val="continue"/>
            <w:noWrap/>
            <w:vAlign w:val="center"/>
          </w:tcPr>
          <w:p>
            <w:pPr>
              <w:jc w:val="center"/>
              <w:rPr>
                <w:rFonts w:ascii="Times New Roman" w:hAnsi="Times New Roman" w:cs="Times New Roman"/>
                <w:color w:val="000000"/>
                <w:szCs w:val="21"/>
              </w:rPr>
            </w:pPr>
          </w:p>
        </w:tc>
        <w:tc>
          <w:tcPr>
            <w:tcW w:w="689" w:type="dxa"/>
            <w:vMerge w:val="continue"/>
            <w:noWrap/>
            <w:vAlign w:val="center"/>
          </w:tcPr>
          <w:p>
            <w:pPr>
              <w:jc w:val="center"/>
              <w:rPr>
                <w:rFonts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76" w:type="dxa"/>
            <w:vMerge w:val="continue"/>
            <w:noWrap/>
            <w:vAlign w:val="center"/>
          </w:tcPr>
          <w:p>
            <w:pPr>
              <w:widowControl/>
              <w:jc w:val="center"/>
              <w:textAlignment w:val="center"/>
              <w:rPr>
                <w:rFonts w:ascii="Times New Roman" w:hAnsi="Times New Roman" w:cs="Times New Roman"/>
                <w:color w:val="000000"/>
                <w:szCs w:val="21"/>
              </w:rPr>
            </w:pPr>
          </w:p>
        </w:tc>
        <w:tc>
          <w:tcPr>
            <w:tcW w:w="1060" w:type="dxa"/>
            <w:noWrap/>
            <w:vAlign w:val="center"/>
          </w:tcPr>
          <w:p>
            <w:pPr>
              <w:widowControl/>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lang w:bidi="ar"/>
              </w:rPr>
              <w:t>0.0000</w:t>
            </w:r>
          </w:p>
        </w:tc>
        <w:tc>
          <w:tcPr>
            <w:tcW w:w="1116" w:type="dxa"/>
            <w:noWrap/>
            <w:vAlign w:val="center"/>
          </w:tcPr>
          <w:p>
            <w:pPr>
              <w:widowControl/>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lang w:bidi="ar"/>
              </w:rPr>
              <w:t>4.2953</w:t>
            </w:r>
            <w:r>
              <w:rPr>
                <w:rFonts w:ascii="Times New Roman" w:hAnsi="Times New Roman" w:cs="Times New Roman"/>
                <w:color w:val="000000"/>
                <w:kern w:val="0"/>
                <w:szCs w:val="21"/>
                <w:lang w:bidi="ar"/>
              </w:rPr>
              <w:t xml:space="preserve"> </w:t>
            </w:r>
          </w:p>
        </w:tc>
        <w:tc>
          <w:tcPr>
            <w:tcW w:w="1211" w:type="dxa"/>
            <w:vMerge w:val="continue"/>
            <w:noWrap/>
            <w:vAlign w:val="center"/>
          </w:tcPr>
          <w:p>
            <w:pPr>
              <w:widowControl/>
              <w:jc w:val="center"/>
              <w:textAlignment w:val="center"/>
              <w:rPr>
                <w:rFonts w:ascii="Times New Roman" w:hAnsi="Times New Roman" w:cs="Times New Roman"/>
                <w:color w:val="000000"/>
                <w:kern w:val="0"/>
                <w:szCs w:val="21"/>
                <w:lang w:bidi="ar"/>
              </w:rPr>
            </w:pPr>
          </w:p>
        </w:tc>
        <w:tc>
          <w:tcPr>
            <w:tcW w:w="1211" w:type="dxa"/>
            <w:noWrap/>
            <w:vAlign w:val="center"/>
          </w:tcPr>
          <w:p>
            <w:pPr>
              <w:widowControl/>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lang w:bidi="ar"/>
              </w:rPr>
              <w:t>86.643</w:t>
            </w:r>
          </w:p>
        </w:tc>
        <w:tc>
          <w:tcPr>
            <w:tcW w:w="1075" w:type="dxa"/>
            <w:vMerge w:val="restart"/>
            <w:noWrap/>
            <w:vAlign w:val="center"/>
          </w:tcPr>
          <w:p>
            <w:pPr>
              <w:widowControl/>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lang w:bidi="ar"/>
              </w:rPr>
              <w:t>87.773</w:t>
            </w:r>
          </w:p>
        </w:tc>
        <w:tc>
          <w:tcPr>
            <w:tcW w:w="1087" w:type="dxa"/>
            <w:vMerge w:val="continue"/>
            <w:noWrap/>
            <w:vAlign w:val="center"/>
          </w:tcPr>
          <w:p>
            <w:pPr>
              <w:jc w:val="center"/>
              <w:rPr>
                <w:rFonts w:ascii="Times New Roman" w:hAnsi="Times New Roman" w:cs="Times New Roman"/>
                <w:color w:val="000000"/>
                <w:szCs w:val="21"/>
              </w:rPr>
            </w:pPr>
          </w:p>
        </w:tc>
        <w:tc>
          <w:tcPr>
            <w:tcW w:w="689" w:type="dxa"/>
            <w:vMerge w:val="continue"/>
            <w:noWrap/>
            <w:vAlign w:val="center"/>
          </w:tcPr>
          <w:p>
            <w:pPr>
              <w:jc w:val="center"/>
              <w:rPr>
                <w:rFonts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76" w:type="dxa"/>
            <w:vMerge w:val="continue"/>
            <w:noWrap/>
            <w:vAlign w:val="center"/>
          </w:tcPr>
          <w:p>
            <w:pPr>
              <w:widowControl/>
              <w:jc w:val="center"/>
              <w:textAlignment w:val="center"/>
              <w:rPr>
                <w:rFonts w:ascii="Times New Roman" w:hAnsi="Times New Roman" w:cs="Times New Roman"/>
                <w:color w:val="000000"/>
                <w:szCs w:val="21"/>
              </w:rPr>
            </w:pPr>
          </w:p>
        </w:tc>
        <w:tc>
          <w:tcPr>
            <w:tcW w:w="1060" w:type="dxa"/>
            <w:noWrap/>
            <w:vAlign w:val="center"/>
          </w:tcPr>
          <w:p>
            <w:pPr>
              <w:widowControl/>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lang w:bidi="ar"/>
              </w:rPr>
              <w:t>0.0000</w:t>
            </w:r>
          </w:p>
        </w:tc>
        <w:tc>
          <w:tcPr>
            <w:tcW w:w="1116" w:type="dxa"/>
            <w:noWrap/>
            <w:vAlign w:val="center"/>
          </w:tcPr>
          <w:p>
            <w:pPr>
              <w:widowControl/>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lang w:bidi="ar"/>
              </w:rPr>
              <w:t>4.4173</w:t>
            </w:r>
            <w:r>
              <w:rPr>
                <w:rFonts w:ascii="Times New Roman" w:hAnsi="Times New Roman" w:cs="Times New Roman"/>
                <w:color w:val="000000"/>
                <w:kern w:val="0"/>
                <w:szCs w:val="21"/>
                <w:lang w:bidi="ar"/>
              </w:rPr>
              <w:t xml:space="preserve"> </w:t>
            </w:r>
          </w:p>
        </w:tc>
        <w:tc>
          <w:tcPr>
            <w:tcW w:w="1211" w:type="dxa"/>
            <w:vMerge w:val="continue"/>
            <w:noWrap/>
            <w:vAlign w:val="center"/>
          </w:tcPr>
          <w:p>
            <w:pPr>
              <w:widowControl/>
              <w:jc w:val="center"/>
              <w:textAlignment w:val="center"/>
              <w:rPr>
                <w:rFonts w:ascii="Times New Roman" w:hAnsi="Times New Roman" w:cs="Times New Roman"/>
                <w:color w:val="000000"/>
                <w:kern w:val="0"/>
                <w:szCs w:val="21"/>
                <w:lang w:bidi="ar"/>
              </w:rPr>
            </w:pPr>
          </w:p>
        </w:tc>
        <w:tc>
          <w:tcPr>
            <w:tcW w:w="1211" w:type="dxa"/>
            <w:noWrap/>
            <w:vAlign w:val="center"/>
          </w:tcPr>
          <w:p>
            <w:pPr>
              <w:widowControl/>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lang w:bidi="ar"/>
              </w:rPr>
              <w:t>89.003</w:t>
            </w:r>
          </w:p>
        </w:tc>
        <w:tc>
          <w:tcPr>
            <w:tcW w:w="1075" w:type="dxa"/>
            <w:vMerge w:val="continue"/>
            <w:noWrap/>
            <w:vAlign w:val="center"/>
          </w:tcPr>
          <w:p>
            <w:pPr>
              <w:jc w:val="center"/>
              <w:rPr>
                <w:rFonts w:ascii="Times New Roman" w:hAnsi="Times New Roman" w:cs="Times New Roman"/>
                <w:color w:val="000000"/>
                <w:szCs w:val="21"/>
              </w:rPr>
            </w:pPr>
          </w:p>
        </w:tc>
        <w:tc>
          <w:tcPr>
            <w:tcW w:w="1087" w:type="dxa"/>
            <w:vMerge w:val="continue"/>
            <w:noWrap/>
            <w:vAlign w:val="center"/>
          </w:tcPr>
          <w:p>
            <w:pPr>
              <w:jc w:val="center"/>
              <w:rPr>
                <w:rFonts w:ascii="Times New Roman" w:hAnsi="Times New Roman" w:cs="Times New Roman"/>
                <w:color w:val="000000"/>
                <w:szCs w:val="21"/>
              </w:rPr>
            </w:pPr>
          </w:p>
        </w:tc>
        <w:tc>
          <w:tcPr>
            <w:tcW w:w="689" w:type="dxa"/>
            <w:vMerge w:val="continue"/>
            <w:noWrap/>
            <w:vAlign w:val="center"/>
          </w:tcPr>
          <w:p>
            <w:pPr>
              <w:jc w:val="center"/>
              <w:rPr>
                <w:rFonts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76" w:type="dxa"/>
            <w:vMerge w:val="continue"/>
            <w:noWrap/>
            <w:vAlign w:val="center"/>
          </w:tcPr>
          <w:p>
            <w:pPr>
              <w:widowControl/>
              <w:jc w:val="center"/>
              <w:textAlignment w:val="center"/>
              <w:rPr>
                <w:rFonts w:ascii="Times New Roman" w:hAnsi="Times New Roman" w:cs="Times New Roman"/>
                <w:color w:val="000000"/>
                <w:szCs w:val="21"/>
              </w:rPr>
            </w:pPr>
          </w:p>
        </w:tc>
        <w:tc>
          <w:tcPr>
            <w:tcW w:w="1060" w:type="dxa"/>
            <w:noWrap/>
            <w:vAlign w:val="center"/>
          </w:tcPr>
          <w:p>
            <w:pPr>
              <w:widowControl/>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lang w:bidi="ar"/>
              </w:rPr>
              <w:t>0.0000</w:t>
            </w:r>
          </w:p>
        </w:tc>
        <w:tc>
          <w:tcPr>
            <w:tcW w:w="1116" w:type="dxa"/>
            <w:noWrap/>
            <w:vAlign w:val="center"/>
          </w:tcPr>
          <w:p>
            <w:pPr>
              <w:widowControl/>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lang w:bidi="ar"/>
              </w:rPr>
              <w:t>5.0799</w:t>
            </w:r>
            <w:r>
              <w:rPr>
                <w:rFonts w:ascii="Times New Roman" w:hAnsi="Times New Roman" w:cs="Times New Roman"/>
                <w:color w:val="000000"/>
                <w:kern w:val="0"/>
                <w:szCs w:val="21"/>
                <w:lang w:bidi="ar"/>
              </w:rPr>
              <w:t xml:space="preserve"> </w:t>
            </w:r>
          </w:p>
        </w:tc>
        <w:tc>
          <w:tcPr>
            <w:tcW w:w="1211" w:type="dxa"/>
            <w:vMerge w:val="continue"/>
            <w:noWrap/>
            <w:vAlign w:val="center"/>
          </w:tcPr>
          <w:p>
            <w:pPr>
              <w:widowControl/>
              <w:jc w:val="center"/>
              <w:textAlignment w:val="center"/>
              <w:rPr>
                <w:rFonts w:ascii="Times New Roman" w:hAnsi="Times New Roman" w:cs="Times New Roman"/>
                <w:color w:val="000000"/>
                <w:kern w:val="0"/>
                <w:szCs w:val="21"/>
                <w:lang w:bidi="ar"/>
              </w:rPr>
            </w:pPr>
          </w:p>
        </w:tc>
        <w:tc>
          <w:tcPr>
            <w:tcW w:w="1211" w:type="dxa"/>
            <w:noWrap/>
            <w:vAlign w:val="center"/>
          </w:tcPr>
          <w:p>
            <w:pPr>
              <w:widowControl/>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lang w:bidi="ar"/>
              </w:rPr>
              <w:t>102.</w:t>
            </w:r>
            <w:r>
              <w:rPr>
                <w:rFonts w:hint="eastAsia" w:ascii="Times New Roman" w:hAnsi="Times New Roman" w:cs="Times New Roman"/>
                <w:color w:val="000000"/>
                <w:kern w:val="0"/>
                <w:szCs w:val="21"/>
                <w:lang w:bidi="ar"/>
              </w:rPr>
              <w:t>353</w:t>
            </w:r>
          </w:p>
        </w:tc>
        <w:tc>
          <w:tcPr>
            <w:tcW w:w="1075" w:type="dxa"/>
            <w:vMerge w:val="restart"/>
            <w:noWrap/>
            <w:vAlign w:val="center"/>
          </w:tcPr>
          <w:p>
            <w:pPr>
              <w:widowControl/>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lang w:bidi="ar"/>
              </w:rPr>
              <w:t>100.385</w:t>
            </w:r>
          </w:p>
        </w:tc>
        <w:tc>
          <w:tcPr>
            <w:tcW w:w="1087" w:type="dxa"/>
            <w:vMerge w:val="continue"/>
            <w:noWrap/>
            <w:vAlign w:val="center"/>
          </w:tcPr>
          <w:p>
            <w:pPr>
              <w:jc w:val="center"/>
              <w:rPr>
                <w:rFonts w:ascii="Times New Roman" w:hAnsi="Times New Roman" w:cs="Times New Roman"/>
                <w:color w:val="000000"/>
                <w:szCs w:val="21"/>
              </w:rPr>
            </w:pPr>
          </w:p>
        </w:tc>
        <w:tc>
          <w:tcPr>
            <w:tcW w:w="689" w:type="dxa"/>
            <w:vMerge w:val="continue"/>
            <w:noWrap/>
            <w:vAlign w:val="center"/>
          </w:tcPr>
          <w:p>
            <w:pPr>
              <w:jc w:val="center"/>
              <w:rPr>
                <w:rFonts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76" w:type="dxa"/>
            <w:vMerge w:val="continue"/>
            <w:noWrap/>
            <w:vAlign w:val="center"/>
          </w:tcPr>
          <w:p>
            <w:pPr>
              <w:widowControl/>
              <w:jc w:val="center"/>
              <w:textAlignment w:val="center"/>
              <w:rPr>
                <w:rFonts w:ascii="Times New Roman" w:hAnsi="Times New Roman" w:cs="Times New Roman"/>
                <w:color w:val="000000"/>
                <w:szCs w:val="21"/>
              </w:rPr>
            </w:pPr>
          </w:p>
        </w:tc>
        <w:tc>
          <w:tcPr>
            <w:tcW w:w="1060" w:type="dxa"/>
            <w:noWrap/>
            <w:vAlign w:val="center"/>
          </w:tcPr>
          <w:p>
            <w:pPr>
              <w:widowControl/>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lang w:bidi="ar"/>
              </w:rPr>
              <w:t>0.0000</w:t>
            </w:r>
          </w:p>
        </w:tc>
        <w:tc>
          <w:tcPr>
            <w:tcW w:w="1116" w:type="dxa"/>
            <w:noWrap/>
            <w:vAlign w:val="center"/>
          </w:tcPr>
          <w:p>
            <w:pPr>
              <w:widowControl/>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lang w:bidi="ar"/>
              </w:rPr>
              <w:t>4.8846</w:t>
            </w:r>
            <w:r>
              <w:rPr>
                <w:rFonts w:ascii="Times New Roman" w:hAnsi="Times New Roman" w:cs="Times New Roman"/>
                <w:color w:val="000000"/>
                <w:kern w:val="0"/>
                <w:szCs w:val="21"/>
                <w:lang w:bidi="ar"/>
              </w:rPr>
              <w:t xml:space="preserve"> </w:t>
            </w:r>
          </w:p>
        </w:tc>
        <w:tc>
          <w:tcPr>
            <w:tcW w:w="1211" w:type="dxa"/>
            <w:vMerge w:val="continue"/>
            <w:noWrap/>
            <w:vAlign w:val="center"/>
          </w:tcPr>
          <w:p>
            <w:pPr>
              <w:widowControl/>
              <w:jc w:val="center"/>
              <w:textAlignment w:val="center"/>
              <w:rPr>
                <w:rFonts w:ascii="Times New Roman" w:hAnsi="Times New Roman" w:cs="Times New Roman"/>
                <w:color w:val="000000"/>
                <w:kern w:val="0"/>
                <w:szCs w:val="21"/>
                <w:lang w:bidi="ar"/>
              </w:rPr>
            </w:pPr>
          </w:p>
        </w:tc>
        <w:tc>
          <w:tcPr>
            <w:tcW w:w="1211" w:type="dxa"/>
            <w:noWrap/>
            <w:vAlign w:val="center"/>
          </w:tcPr>
          <w:p>
            <w:pPr>
              <w:widowControl/>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lang w:bidi="ar"/>
              </w:rPr>
              <w:t>98.417</w:t>
            </w:r>
          </w:p>
        </w:tc>
        <w:tc>
          <w:tcPr>
            <w:tcW w:w="1075" w:type="dxa"/>
            <w:vMerge w:val="continue"/>
            <w:noWrap/>
            <w:vAlign w:val="center"/>
          </w:tcPr>
          <w:p>
            <w:pPr>
              <w:jc w:val="center"/>
              <w:rPr>
                <w:rFonts w:ascii="Times New Roman" w:hAnsi="Times New Roman" w:cs="Times New Roman"/>
                <w:color w:val="000000"/>
                <w:szCs w:val="21"/>
              </w:rPr>
            </w:pPr>
          </w:p>
        </w:tc>
        <w:tc>
          <w:tcPr>
            <w:tcW w:w="1087" w:type="dxa"/>
            <w:vMerge w:val="continue"/>
            <w:noWrap/>
            <w:vAlign w:val="center"/>
          </w:tcPr>
          <w:p>
            <w:pPr>
              <w:jc w:val="center"/>
              <w:rPr>
                <w:rFonts w:ascii="Times New Roman" w:hAnsi="Times New Roman" w:cs="Times New Roman"/>
                <w:color w:val="000000"/>
                <w:szCs w:val="21"/>
              </w:rPr>
            </w:pPr>
          </w:p>
        </w:tc>
        <w:tc>
          <w:tcPr>
            <w:tcW w:w="689" w:type="dxa"/>
            <w:vMerge w:val="continue"/>
            <w:noWrap/>
            <w:vAlign w:val="center"/>
          </w:tcPr>
          <w:p>
            <w:pPr>
              <w:jc w:val="center"/>
              <w:rPr>
                <w:rFonts w:ascii="Times New Roman" w:hAnsi="Times New Roman" w:cs="Times New Roman"/>
                <w:color w:val="000000"/>
                <w:szCs w:val="21"/>
              </w:rPr>
            </w:pPr>
          </w:p>
        </w:tc>
      </w:tr>
      <w:bookmarkEnd w:id="2"/>
    </w:tbl>
    <w:p>
      <w:pPr>
        <w:spacing w:line="360" w:lineRule="auto"/>
        <w:ind w:left="720" w:firstLineChars="0"/>
        <w:jc w:val="center"/>
        <w:rPr>
          <w:rFonts w:ascii="Times New Roman" w:hAnsi="Times New Roman" w:cs="Times New Roman"/>
          <w:szCs w:val="21"/>
        </w:rPr>
      </w:pP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亚硫酸根测定的</w:t>
      </w:r>
      <w:r>
        <w:rPr>
          <w:rFonts w:ascii="Times New Roman" w:hAnsi="Times New Roman" w:cs="Times New Roman"/>
          <w:sz w:val="24"/>
          <w:szCs w:val="24"/>
        </w:rPr>
        <w:t>平均回收率</w:t>
      </w:r>
      <w:r>
        <w:rPr>
          <w:rFonts w:hint="eastAsia" w:ascii="Times New Roman" w:hAnsi="Times New Roman" w:cs="Times New Roman"/>
          <w:sz w:val="24"/>
          <w:szCs w:val="24"/>
        </w:rPr>
        <w:t>93.3</w:t>
      </w:r>
      <w:r>
        <w:rPr>
          <w:rFonts w:ascii="Times New Roman" w:hAnsi="Times New Roman" w:cs="Times New Roman"/>
          <w:sz w:val="24"/>
          <w:szCs w:val="24"/>
        </w:rPr>
        <w:t>%，RSD 为6.0%，准确度符合方法学的要求。</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2.3.3.7稳定性试验</w:t>
      </w:r>
      <w:r>
        <w:rPr>
          <w:rFonts w:ascii="Times New Roman" w:hAnsi="Times New Roman" w:cs="Times New Roman"/>
          <w:sz w:val="24"/>
          <w:szCs w:val="24"/>
        </w:rPr>
        <w:t>结果</w:t>
      </w:r>
    </w:p>
    <w:p>
      <w:pPr>
        <w:spacing w:line="360" w:lineRule="auto"/>
        <w:jc w:val="center"/>
        <w:rPr>
          <w:rFonts w:ascii="Times New Roman" w:hAnsi="Times New Roman" w:cs="Times New Roman"/>
          <w:sz w:val="21"/>
          <w:szCs w:val="21"/>
        </w:rPr>
      </w:pPr>
      <w:r>
        <w:rPr>
          <w:rFonts w:ascii="Times New Roman" w:hAnsi="Times New Roman" w:cs="Times New Roman"/>
          <w:sz w:val="21"/>
          <w:szCs w:val="21"/>
        </w:rPr>
        <w:t>表</w:t>
      </w:r>
      <w:r>
        <w:rPr>
          <w:rFonts w:hint="eastAsia" w:ascii="Times New Roman" w:hAnsi="Times New Roman" w:cs="Times New Roman"/>
          <w:sz w:val="21"/>
          <w:szCs w:val="21"/>
        </w:rPr>
        <w:t>8稳定性</w:t>
      </w:r>
      <w:r>
        <w:rPr>
          <w:rFonts w:ascii="Times New Roman" w:hAnsi="Times New Roman" w:cs="Times New Roman"/>
          <w:sz w:val="21"/>
          <w:szCs w:val="21"/>
        </w:rPr>
        <w:t>结果</w:t>
      </w:r>
    </w:p>
    <w:p>
      <w:pPr>
        <w:rPr>
          <w:rFonts w:cs="Times New Roman"/>
          <w:vanish/>
          <w:szCs w:val="22"/>
        </w:rPr>
      </w:pPr>
    </w:p>
    <w:tbl>
      <w:tblPr>
        <w:tblStyle w:val="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8"/>
        <w:gridCol w:w="1218"/>
        <w:gridCol w:w="1218"/>
        <w:gridCol w:w="1218"/>
        <w:gridCol w:w="1218"/>
        <w:gridCol w:w="1219"/>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 w:val="24"/>
                <w:szCs w:val="24"/>
              </w:rPr>
              <w:t>进样时间</w:t>
            </w:r>
          </w:p>
        </w:tc>
        <w:tc>
          <w:tcPr>
            <w:tcW w:w="1218" w:type="dxa"/>
            <w:shd w:val="clear" w:color="auto" w:fill="auto"/>
            <w:noWrap w:val="0"/>
            <w:vAlign w:val="top"/>
          </w:tcPr>
          <w:p>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0h</w:t>
            </w:r>
          </w:p>
        </w:tc>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 w:val="24"/>
                <w:szCs w:val="24"/>
              </w:rPr>
              <w:t>4h</w:t>
            </w:r>
          </w:p>
        </w:tc>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 w:val="24"/>
                <w:szCs w:val="24"/>
              </w:rPr>
              <w:t>13h</w:t>
            </w:r>
          </w:p>
        </w:tc>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 w:val="24"/>
                <w:szCs w:val="24"/>
              </w:rPr>
              <w:t>33h</w:t>
            </w:r>
          </w:p>
        </w:tc>
        <w:tc>
          <w:tcPr>
            <w:tcW w:w="1219"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 w:val="24"/>
                <w:szCs w:val="24"/>
              </w:rPr>
              <w:t>37h</w:t>
            </w:r>
          </w:p>
        </w:tc>
        <w:tc>
          <w:tcPr>
            <w:tcW w:w="1219" w:type="dxa"/>
            <w:shd w:val="clear" w:color="auto" w:fill="auto"/>
            <w:noWrap w:val="0"/>
            <w:vAlign w:val="top"/>
          </w:tcPr>
          <w:p>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RSD（%）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 w:val="24"/>
                <w:szCs w:val="24"/>
              </w:rPr>
              <w:t>峰面积</w:t>
            </w:r>
          </w:p>
        </w:tc>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Cs w:val="21"/>
              </w:rPr>
              <w:t>0.04744</w:t>
            </w:r>
          </w:p>
        </w:tc>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Cs w:val="21"/>
              </w:rPr>
              <w:t>0.04546</w:t>
            </w:r>
          </w:p>
        </w:tc>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Cs w:val="21"/>
              </w:rPr>
              <w:t>0.04553</w:t>
            </w:r>
          </w:p>
        </w:tc>
        <w:tc>
          <w:tcPr>
            <w:tcW w:w="1218"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Cs w:val="21"/>
              </w:rPr>
              <w:t>0.04647</w:t>
            </w:r>
          </w:p>
        </w:tc>
        <w:tc>
          <w:tcPr>
            <w:tcW w:w="1219" w:type="dxa"/>
            <w:shd w:val="clear" w:color="auto" w:fill="auto"/>
            <w:noWrap w:val="0"/>
            <w:vAlign w:val="top"/>
          </w:tcPr>
          <w:p>
            <w:pPr>
              <w:spacing w:line="360" w:lineRule="auto"/>
              <w:jc w:val="center"/>
              <w:rPr>
                <w:rFonts w:hint="eastAsia" w:ascii="Times New Roman" w:hAnsi="Times New Roman" w:cs="Times New Roman"/>
                <w:sz w:val="24"/>
                <w:szCs w:val="24"/>
              </w:rPr>
            </w:pPr>
            <w:r>
              <w:rPr>
                <w:rFonts w:hint="eastAsia" w:ascii="Times New Roman" w:hAnsi="Times New Roman" w:cs="Times New Roman"/>
                <w:szCs w:val="21"/>
              </w:rPr>
              <w:t>0.04371</w:t>
            </w:r>
          </w:p>
        </w:tc>
        <w:tc>
          <w:tcPr>
            <w:tcW w:w="1219" w:type="dxa"/>
            <w:shd w:val="clear" w:color="auto" w:fill="auto"/>
            <w:noWrap w:val="0"/>
            <w:vAlign w:val="top"/>
          </w:tcPr>
          <w:p>
            <w:pPr>
              <w:spacing w:line="360" w:lineRule="auto"/>
              <w:jc w:val="center"/>
              <w:rPr>
                <w:rFonts w:ascii="Times New Roman" w:hAnsi="Times New Roman" w:cs="Times New Roman"/>
                <w:sz w:val="24"/>
                <w:szCs w:val="24"/>
              </w:rPr>
            </w:pPr>
            <w:r>
              <w:rPr>
                <w:rFonts w:hint="eastAsia" w:ascii="Times New Roman" w:hAnsi="Times New Roman" w:cs="Times New Roman"/>
                <w:szCs w:val="21"/>
              </w:rPr>
              <w:t>3.0</w:t>
            </w:r>
          </w:p>
        </w:tc>
      </w:tr>
    </w:tbl>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 xml:space="preserve"> </w:t>
      </w:r>
      <w:bookmarkStart w:id="3" w:name="_Hlk161352250"/>
      <w:r>
        <w:rPr>
          <w:rFonts w:hint="eastAsia" w:ascii="Times New Roman" w:hAnsi="Times New Roman" w:cs="Times New Roman"/>
          <w:sz w:val="24"/>
          <w:szCs w:val="24"/>
        </w:rPr>
        <w:t>亚硫酸根在3</w:t>
      </w:r>
      <w:r>
        <w:rPr>
          <w:rFonts w:ascii="Times New Roman" w:hAnsi="Times New Roman" w:cs="Times New Roman"/>
          <w:sz w:val="24"/>
          <w:szCs w:val="24"/>
        </w:rPr>
        <w:t>7</w:t>
      </w:r>
      <w:r>
        <w:rPr>
          <w:rFonts w:hint="eastAsia" w:ascii="Times New Roman" w:hAnsi="Times New Roman" w:cs="Times New Roman"/>
          <w:sz w:val="24"/>
          <w:szCs w:val="24"/>
        </w:rPr>
        <w:t>小时内测定结果稳定，样品稳定性</w:t>
      </w:r>
      <w:r>
        <w:rPr>
          <w:rFonts w:ascii="Times New Roman" w:hAnsi="Times New Roman" w:cs="Times New Roman"/>
          <w:sz w:val="24"/>
          <w:szCs w:val="24"/>
        </w:rPr>
        <w:t>符合方法学的要求。</w:t>
      </w:r>
      <w:bookmarkEnd w:id="3"/>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2.3.3.8</w:t>
      </w:r>
      <w:r>
        <w:rPr>
          <w:rFonts w:ascii="Times New Roman" w:hAnsi="Times New Roman" w:cs="Times New Roman"/>
          <w:sz w:val="24"/>
          <w:szCs w:val="24"/>
        </w:rPr>
        <w:t>检测限和定量限结果</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取</w:t>
      </w:r>
      <w:r>
        <w:rPr>
          <w:rFonts w:ascii="Times New Roman" w:hAnsi="Times New Roman" w:cs="Times New Roman"/>
          <w:sz w:val="24"/>
          <w:szCs w:val="24"/>
        </w:rPr>
        <w:t>检测限和定量限</w:t>
      </w:r>
      <w:r>
        <w:rPr>
          <w:rFonts w:hint="eastAsia" w:ascii="Times New Roman" w:hAnsi="Times New Roman" w:cs="Times New Roman"/>
          <w:sz w:val="24"/>
          <w:szCs w:val="24"/>
        </w:rPr>
        <w:t>溶液，按亚硫酸根色谱峰信噪比计算定量限、检测限，结果见表9。</w:t>
      </w:r>
    </w:p>
    <w:p>
      <w:pPr>
        <w:spacing w:line="360" w:lineRule="auto"/>
        <w:jc w:val="center"/>
        <w:rPr>
          <w:rFonts w:ascii="Times New Roman" w:hAnsi="Times New Roman" w:cs="Times New Roman"/>
          <w:sz w:val="21"/>
          <w:szCs w:val="21"/>
        </w:rPr>
      </w:pPr>
      <w:r>
        <w:rPr>
          <w:rFonts w:ascii="Times New Roman" w:hAnsi="Times New Roman" w:cs="Times New Roman"/>
          <w:sz w:val="21"/>
          <w:szCs w:val="21"/>
        </w:rPr>
        <w:t>表</w:t>
      </w:r>
      <w:r>
        <w:rPr>
          <w:rFonts w:hint="eastAsia" w:ascii="Times New Roman" w:hAnsi="Times New Roman" w:cs="Times New Roman"/>
          <w:sz w:val="21"/>
          <w:szCs w:val="21"/>
        </w:rPr>
        <w:t>9</w:t>
      </w:r>
      <w:r>
        <w:rPr>
          <w:rFonts w:ascii="Times New Roman" w:hAnsi="Times New Roman" w:cs="Times New Roman"/>
          <w:szCs w:val="21"/>
        </w:rPr>
        <w:t xml:space="preserve">  </w:t>
      </w:r>
      <w:r>
        <w:rPr>
          <w:rFonts w:ascii="Times New Roman" w:hAnsi="Times New Roman" w:cs="Times New Roman"/>
          <w:sz w:val="21"/>
          <w:szCs w:val="21"/>
        </w:rPr>
        <w:t>检测限和定量限结果</w:t>
      </w:r>
    </w:p>
    <w:tbl>
      <w:tblPr>
        <w:tblStyle w:val="2"/>
        <w:tblW w:w="5000" w:type="pct"/>
        <w:tblInd w:w="-104" w:type="dxa"/>
        <w:tblLayout w:type="fixed"/>
        <w:tblCellMar>
          <w:top w:w="0" w:type="dxa"/>
          <w:left w:w="108" w:type="dxa"/>
          <w:bottom w:w="0" w:type="dxa"/>
          <w:right w:w="108" w:type="dxa"/>
        </w:tblCellMar>
      </w:tblPr>
      <w:tblGrid>
        <w:gridCol w:w="1657"/>
        <w:gridCol w:w="2503"/>
        <w:gridCol w:w="1274"/>
        <w:gridCol w:w="1183"/>
        <w:gridCol w:w="1911"/>
      </w:tblGrid>
      <w:tr>
        <w:tblPrEx>
          <w:tblCellMar>
            <w:top w:w="0" w:type="dxa"/>
            <w:left w:w="108" w:type="dxa"/>
            <w:bottom w:w="0" w:type="dxa"/>
            <w:right w:w="108" w:type="dxa"/>
          </w:tblCellMar>
        </w:tblPrEx>
        <w:trPr>
          <w:trHeight w:val="577" w:hRule="atLeast"/>
        </w:trPr>
        <w:tc>
          <w:tcPr>
            <w:tcW w:w="972" w:type="pct"/>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ascii="Times New Roman" w:hAnsi="Times New Roman" w:cs="Times New Roman"/>
                <w:color w:val="000000"/>
                <w:kern w:val="0"/>
                <w:szCs w:val="21"/>
                <w:lang w:bidi="ar"/>
              </w:rPr>
            </w:pPr>
            <w:r>
              <w:rPr>
                <w:rFonts w:ascii="Times New Roman" w:hAnsi="Times New Roman" w:cs="Times New Roman"/>
                <w:szCs w:val="21"/>
              </w:rPr>
              <w:t>名称</w:t>
            </w:r>
          </w:p>
        </w:tc>
        <w:tc>
          <w:tcPr>
            <w:tcW w:w="1469" w:type="pct"/>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lang w:bidi="ar"/>
              </w:rPr>
              <w:t>溶液浓度</w:t>
            </w:r>
            <w:r>
              <w:rPr>
                <w:rFonts w:hint="eastAsia" w:ascii="Times New Roman" w:hAnsi="Times New Roman" w:cs="Times New Roman"/>
                <w:color w:val="000000"/>
                <w:kern w:val="0"/>
                <w:szCs w:val="21"/>
                <w:lang w:bidi="ar"/>
              </w:rPr>
              <w:t>（以二氧化硫计）</w:t>
            </w:r>
            <w:r>
              <w:rPr>
                <w:rFonts w:ascii="Times New Roman" w:hAnsi="Times New Roman" w:cs="Times New Roman"/>
                <w:color w:val="000000"/>
                <w:kern w:val="0"/>
                <w:szCs w:val="21"/>
                <w:lang w:bidi="ar"/>
              </w:rPr>
              <w:t>（</w:t>
            </w:r>
            <w:r>
              <w:rPr>
                <w:rFonts w:ascii="Times New Roman" w:hAnsi="Times New Roman" w:cs="Times New Roman"/>
                <w:szCs w:val="21"/>
              </w:rPr>
              <w:t>μg/ml</w:t>
            </w:r>
            <w:r>
              <w:rPr>
                <w:rFonts w:ascii="Times New Roman" w:hAnsi="Times New Roman" w:cs="Times New Roman"/>
                <w:color w:val="000000"/>
                <w:kern w:val="0"/>
                <w:szCs w:val="21"/>
                <w:lang w:bidi="ar"/>
              </w:rPr>
              <w:t>）</w:t>
            </w:r>
          </w:p>
        </w:tc>
        <w:tc>
          <w:tcPr>
            <w:tcW w:w="746" w:type="pct"/>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信噪比</w:t>
            </w:r>
          </w:p>
        </w:tc>
        <w:tc>
          <w:tcPr>
            <w:tcW w:w="1813"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测定结果</w:t>
            </w:r>
          </w:p>
        </w:tc>
      </w:tr>
      <w:tr>
        <w:tblPrEx>
          <w:tblCellMar>
            <w:top w:w="0" w:type="dxa"/>
            <w:left w:w="108" w:type="dxa"/>
            <w:bottom w:w="0" w:type="dxa"/>
            <w:right w:w="108" w:type="dxa"/>
          </w:tblCellMar>
        </w:tblPrEx>
        <w:trPr>
          <w:trHeight w:val="577" w:hRule="atLeast"/>
        </w:trPr>
        <w:tc>
          <w:tcPr>
            <w:tcW w:w="972" w:type="pct"/>
            <w:vMerge w:val="continue"/>
            <w:tcBorders>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s="Times New Roman"/>
                <w:szCs w:val="21"/>
              </w:rPr>
            </w:pPr>
          </w:p>
        </w:tc>
        <w:tc>
          <w:tcPr>
            <w:tcW w:w="1469" w:type="pct"/>
            <w:vMerge w:val="continue"/>
            <w:tcBorders>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s="Times New Roman"/>
                <w:color w:val="000000"/>
                <w:kern w:val="0"/>
                <w:szCs w:val="21"/>
                <w:lang w:bidi="ar"/>
              </w:rPr>
            </w:pPr>
          </w:p>
        </w:tc>
        <w:tc>
          <w:tcPr>
            <w:tcW w:w="746" w:type="pct"/>
            <w:vMerge w:val="continue"/>
            <w:tcBorders>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s="Times New Roman"/>
                <w:color w:val="000000"/>
                <w:kern w:val="0"/>
                <w:szCs w:val="21"/>
                <w:lang w:bidi="ar"/>
              </w:rPr>
            </w:pPr>
          </w:p>
        </w:tc>
        <w:tc>
          <w:tcPr>
            <w:tcW w:w="96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（μg/ml）</w:t>
            </w:r>
          </w:p>
        </w:tc>
        <w:tc>
          <w:tcPr>
            <w:tcW w:w="85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w:t>
            </w:r>
          </w:p>
        </w:tc>
      </w:tr>
      <w:tr>
        <w:tblPrEx>
          <w:tblCellMar>
            <w:top w:w="0" w:type="dxa"/>
            <w:left w:w="108" w:type="dxa"/>
            <w:bottom w:w="0" w:type="dxa"/>
            <w:right w:w="108" w:type="dxa"/>
          </w:tblCellMar>
        </w:tblPrEx>
        <w:trPr>
          <w:trHeight w:val="540" w:hRule="atLeast"/>
        </w:trPr>
        <w:tc>
          <w:tcPr>
            <w:tcW w:w="97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s="Times New Roman"/>
                <w:color w:val="000000"/>
                <w:kern w:val="0"/>
                <w:szCs w:val="21"/>
                <w:lang w:bidi="ar"/>
              </w:rPr>
            </w:pPr>
            <w:r>
              <w:rPr>
                <w:rFonts w:ascii="Times New Roman" w:hAnsi="Times New Roman" w:cs="Times New Roman"/>
                <w:szCs w:val="21"/>
              </w:rPr>
              <w:t>检</w:t>
            </w:r>
            <w:r>
              <w:rPr>
                <w:rFonts w:ascii="Times New Roman" w:hAnsi="Times New Roman" w:cs="Times New Roman"/>
                <w:bCs/>
                <w:szCs w:val="21"/>
              </w:rPr>
              <w:t>测</w:t>
            </w:r>
            <w:r>
              <w:rPr>
                <w:rFonts w:ascii="Times New Roman" w:hAnsi="Times New Roman" w:cs="Times New Roman"/>
                <w:szCs w:val="21"/>
              </w:rPr>
              <w:t>限</w:t>
            </w:r>
          </w:p>
        </w:tc>
        <w:tc>
          <w:tcPr>
            <w:tcW w:w="25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lang w:bidi="ar"/>
              </w:rPr>
              <w:t>0.</w:t>
            </w:r>
            <w:r>
              <w:rPr>
                <w:rFonts w:hint="eastAsia" w:ascii="Times New Roman" w:hAnsi="Times New Roman" w:cs="Times New Roman"/>
                <w:color w:val="000000"/>
                <w:kern w:val="0"/>
                <w:szCs w:val="21"/>
                <w:lang w:bidi="ar"/>
              </w:rPr>
              <w:t>0692</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5.8</w:t>
            </w:r>
          </w:p>
        </w:tc>
        <w:tc>
          <w:tcPr>
            <w:tcW w:w="11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lang w:bidi="ar"/>
              </w:rPr>
              <w:t>0.0</w:t>
            </w:r>
            <w:r>
              <w:rPr>
                <w:rFonts w:hint="eastAsia" w:ascii="Times New Roman" w:hAnsi="Times New Roman" w:cs="Times New Roman"/>
                <w:color w:val="000000"/>
                <w:kern w:val="0"/>
                <w:szCs w:val="21"/>
                <w:lang w:bidi="ar"/>
              </w:rPr>
              <w:t>358</w:t>
            </w:r>
          </w:p>
        </w:tc>
        <w:tc>
          <w:tcPr>
            <w:tcW w:w="19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s="Times New Roman"/>
                <w:color w:val="000000"/>
                <w:kern w:val="0"/>
                <w:szCs w:val="21"/>
                <w:lang w:bidi="ar"/>
              </w:rPr>
            </w:pPr>
            <w:r>
              <w:rPr>
                <w:rFonts w:ascii="Times New Roman" w:hAnsi="Times New Roman" w:cs="Times New Roman"/>
                <w:color w:val="000000"/>
                <w:szCs w:val="21"/>
              </w:rPr>
              <w:t>0.0000</w:t>
            </w:r>
            <w:r>
              <w:rPr>
                <w:rFonts w:hint="eastAsia" w:ascii="Times New Roman" w:hAnsi="Times New Roman" w:cs="Times New Roman"/>
                <w:color w:val="000000"/>
                <w:szCs w:val="21"/>
              </w:rPr>
              <w:t>2</w:t>
            </w:r>
          </w:p>
        </w:tc>
      </w:tr>
      <w:tr>
        <w:tblPrEx>
          <w:tblCellMar>
            <w:top w:w="0" w:type="dxa"/>
            <w:left w:w="108" w:type="dxa"/>
            <w:bottom w:w="0" w:type="dxa"/>
            <w:right w:w="108" w:type="dxa"/>
          </w:tblCellMar>
        </w:tblPrEx>
        <w:trPr>
          <w:trHeight w:val="540" w:hRule="atLeast"/>
        </w:trPr>
        <w:tc>
          <w:tcPr>
            <w:tcW w:w="97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定量限</w:t>
            </w:r>
          </w:p>
        </w:tc>
        <w:tc>
          <w:tcPr>
            <w:tcW w:w="25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0.</w:t>
            </w:r>
            <w:r>
              <w:rPr>
                <w:rFonts w:hint="eastAsia" w:ascii="Times New Roman" w:hAnsi="Times New Roman" w:cs="Times New Roman"/>
                <w:color w:val="000000"/>
                <w:kern w:val="0"/>
                <w:szCs w:val="21"/>
                <w:lang w:bidi="ar"/>
              </w:rPr>
              <w:t>1385</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14.6</w:t>
            </w:r>
          </w:p>
        </w:tc>
        <w:tc>
          <w:tcPr>
            <w:tcW w:w="11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s="Times New Roman"/>
                <w:color w:val="000000"/>
                <w:kern w:val="0"/>
                <w:szCs w:val="21"/>
                <w:lang w:bidi="ar"/>
              </w:rPr>
            </w:pPr>
            <w:r>
              <w:rPr>
                <w:rFonts w:hint="eastAsia" w:ascii="Times New Roman" w:hAnsi="Times New Roman" w:cs="Times New Roman"/>
                <w:color w:val="000000"/>
                <w:kern w:val="0"/>
                <w:szCs w:val="21"/>
                <w:lang w:bidi="ar"/>
              </w:rPr>
              <w:t>0</w:t>
            </w:r>
            <w:r>
              <w:rPr>
                <w:rFonts w:ascii="Times New Roman" w:hAnsi="Times New Roman" w:cs="Times New Roman"/>
                <w:color w:val="000000"/>
                <w:kern w:val="0"/>
                <w:szCs w:val="21"/>
                <w:lang w:bidi="ar"/>
              </w:rPr>
              <w:t>.</w:t>
            </w:r>
            <w:r>
              <w:rPr>
                <w:rFonts w:hint="eastAsia" w:ascii="Times New Roman" w:hAnsi="Times New Roman" w:cs="Times New Roman"/>
                <w:color w:val="000000"/>
                <w:kern w:val="0"/>
                <w:szCs w:val="21"/>
                <w:lang w:bidi="ar"/>
              </w:rPr>
              <w:t>0949</w:t>
            </w:r>
          </w:p>
        </w:tc>
        <w:tc>
          <w:tcPr>
            <w:tcW w:w="19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s="Times New Roman"/>
                <w:color w:val="000000"/>
                <w:kern w:val="0"/>
                <w:szCs w:val="21"/>
                <w:lang w:bidi="ar"/>
              </w:rPr>
            </w:pPr>
            <w:r>
              <w:rPr>
                <w:rFonts w:ascii="Times New Roman" w:hAnsi="Times New Roman" w:cs="Times New Roman"/>
                <w:color w:val="000000"/>
                <w:szCs w:val="21"/>
              </w:rPr>
              <w:t>0.000</w:t>
            </w:r>
            <w:r>
              <w:rPr>
                <w:rFonts w:hint="eastAsia" w:ascii="Times New Roman" w:hAnsi="Times New Roman" w:cs="Times New Roman"/>
                <w:color w:val="000000"/>
                <w:szCs w:val="21"/>
              </w:rPr>
              <w:t>05</w:t>
            </w:r>
          </w:p>
        </w:tc>
      </w:tr>
    </w:tbl>
    <w:p>
      <w:pPr>
        <w:widowControl w:val="0"/>
        <w:spacing w:line="360" w:lineRule="auto"/>
        <w:ind w:left="0" w:firstLine="0" w:firstLineChars="0"/>
        <w:jc w:val="center"/>
        <w:rPr>
          <w:rFonts w:ascii="Times New Roman" w:hAnsi="Times New Roman" w:eastAsia="宋体" w:cs="Times New Roman"/>
          <w:kern w:val="2"/>
          <w:sz w:val="24"/>
          <w:szCs w:val="24"/>
          <w:lang w:val="en-US" w:eastAsia="zh-CN" w:bidi="ar-SA"/>
        </w:rPr>
      </w:pPr>
    </w:p>
    <w:p>
      <w:pPr>
        <w:widowControl w:val="0"/>
        <w:snapToGrid w:val="0"/>
        <w:spacing w:line="360" w:lineRule="auto"/>
        <w:ind w:firstLine="480" w:firstLineChars="200"/>
        <w:jc w:val="both"/>
        <w:rPr>
          <w:rFonts w:hint="eastAsia" w:ascii="Times New Roman" w:hAnsi="Times New Roman" w:eastAsia="宋体" w:cs="Times New Roman"/>
          <w:bCs/>
          <w:kern w:val="2"/>
          <w:sz w:val="24"/>
          <w:szCs w:val="24"/>
          <w:lang w:val="en-US" w:eastAsia="zh-CN" w:bidi="ar-SA"/>
        </w:rPr>
      </w:pPr>
      <w:r>
        <w:rPr>
          <w:rFonts w:ascii="Times New Roman" w:hAnsi="Times New Roman" w:eastAsia="宋体" w:cs="Times New Roman"/>
          <w:kern w:val="2"/>
          <w:sz w:val="24"/>
          <w:szCs w:val="24"/>
          <w:lang w:val="en-US" w:eastAsia="zh-CN" w:bidi="ar-SA"/>
        </w:rPr>
        <w:t>检测限、定量限均远小于限度</w:t>
      </w:r>
      <w:r>
        <w:rPr>
          <w:rFonts w:hint="eastAsia" w:ascii="Times New Roman" w:hAnsi="Times New Roman" w:eastAsia="宋体" w:cs="Times New Roman"/>
          <w:kern w:val="2"/>
          <w:sz w:val="24"/>
          <w:szCs w:val="24"/>
          <w:lang w:val="en-US" w:eastAsia="zh-CN" w:bidi="ar-SA"/>
        </w:rPr>
        <w:t>（0.0005%）</w:t>
      </w:r>
      <w:r>
        <w:rPr>
          <w:rFonts w:ascii="Times New Roman" w:hAnsi="Times New Roman" w:eastAsia="宋体" w:cs="Times New Roman"/>
          <w:kern w:val="2"/>
          <w:sz w:val="24"/>
          <w:szCs w:val="24"/>
          <w:lang w:val="en-US" w:eastAsia="zh-CN" w:bidi="ar-SA"/>
        </w:rPr>
        <w:t>，符合方法学要求。</w:t>
      </w:r>
      <w:r>
        <w:rPr>
          <w:rFonts w:hint="eastAsia" w:ascii="Times New Roman" w:hAnsi="Times New Roman" w:eastAsia="宋体" w:cs="Times New Roman"/>
          <w:bCs/>
          <w:kern w:val="2"/>
          <w:sz w:val="24"/>
          <w:szCs w:val="24"/>
          <w:lang w:val="en-US" w:eastAsia="zh-CN" w:bidi="ar-SA"/>
        </w:rPr>
        <w:t>3批样品按拟定方法检验，结果均符合规定（见表10）。测定结果见表10。</w:t>
      </w:r>
    </w:p>
    <w:p>
      <w:pPr>
        <w:snapToGrid/>
        <w:spacing w:line="360" w:lineRule="auto"/>
        <w:jc w:val="center"/>
        <w:rPr>
          <w:rFonts w:hint="eastAsia" w:ascii="Times New Roman" w:hAnsi="Times New Roman" w:cs="Times New Roman"/>
          <w:szCs w:val="21"/>
        </w:rPr>
      </w:pPr>
      <w:r>
        <w:rPr>
          <w:rFonts w:hint="eastAsia" w:ascii="Times New Roman" w:hAnsi="Times New Roman" w:cs="Times New Roman"/>
          <w:szCs w:val="21"/>
        </w:rPr>
        <w:t xml:space="preserve">表10 </w:t>
      </w:r>
      <w:r>
        <w:rPr>
          <w:rFonts w:ascii="Times New Roman" w:hAnsi="Times New Roman" w:cs="Times New Roman"/>
          <w:szCs w:val="21"/>
        </w:rPr>
        <w:t xml:space="preserve"> </w:t>
      </w:r>
      <w:r>
        <w:rPr>
          <w:rFonts w:hint="eastAsia" w:ascii="Times New Roman" w:hAnsi="Times New Roman" w:cs="Times New Roman"/>
          <w:szCs w:val="21"/>
        </w:rPr>
        <w:t>亚硫酸盐测定结果</w:t>
      </w:r>
    </w:p>
    <w:tbl>
      <w:tblPr>
        <w:tblStyle w:val="2"/>
        <w:tblW w:w="8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2645"/>
        <w:gridCol w:w="1825"/>
        <w:gridCol w:w="2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序号</w:t>
            </w:r>
          </w:p>
        </w:tc>
        <w:tc>
          <w:tcPr>
            <w:tcW w:w="2645" w:type="dxa"/>
            <w:noWrap w:val="0"/>
            <w:vAlign w:val="center"/>
          </w:tcPr>
          <w:p>
            <w:pPr>
              <w:spacing w:line="360" w:lineRule="auto"/>
              <w:jc w:val="center"/>
              <w:rPr>
                <w:rFonts w:ascii="宋体" w:hAnsi="宋体" w:cs="Times New Roman"/>
                <w:szCs w:val="21"/>
              </w:rPr>
            </w:pPr>
            <w:r>
              <w:rPr>
                <w:rFonts w:hint="eastAsia" w:ascii="宋体" w:hAnsi="宋体" w:cs="Times New Roman"/>
                <w:szCs w:val="21"/>
              </w:rPr>
              <w:t>生产企业</w:t>
            </w:r>
          </w:p>
        </w:tc>
        <w:tc>
          <w:tcPr>
            <w:tcW w:w="1825" w:type="dxa"/>
            <w:noWrap w:val="0"/>
            <w:vAlign w:val="center"/>
          </w:tcPr>
          <w:p>
            <w:pPr>
              <w:spacing w:line="360" w:lineRule="auto"/>
              <w:jc w:val="center"/>
              <w:rPr>
                <w:rFonts w:ascii="宋体" w:hAnsi="宋体" w:cs="Times New Roman"/>
                <w:szCs w:val="21"/>
              </w:rPr>
            </w:pPr>
            <w:r>
              <w:rPr>
                <w:rFonts w:hint="eastAsia" w:ascii="宋体" w:hAnsi="宋体" w:cs="Times New Roman"/>
                <w:szCs w:val="21"/>
              </w:rPr>
              <w:t>批号</w:t>
            </w:r>
          </w:p>
        </w:tc>
        <w:tc>
          <w:tcPr>
            <w:tcW w:w="2981"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亚硫酸盐（以二氧化硫计）（%）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1</w:t>
            </w:r>
          </w:p>
        </w:tc>
        <w:tc>
          <w:tcPr>
            <w:tcW w:w="2645" w:type="dxa"/>
            <w:noWrap w:val="0"/>
            <w:vAlign w:val="center"/>
          </w:tcPr>
          <w:p>
            <w:pPr>
              <w:spacing w:line="360" w:lineRule="auto"/>
              <w:jc w:val="center"/>
              <w:rPr>
                <w:rFonts w:ascii="宋体" w:hAnsi="宋体" w:cs="Times New Roman"/>
                <w:szCs w:val="21"/>
              </w:rPr>
            </w:pPr>
            <w:r>
              <w:rPr>
                <w:rFonts w:hint="eastAsia" w:ascii="宋体" w:hAnsi="宋体" w:eastAsia="宋体" w:cs="Times New Roman"/>
                <w:color w:val="000000"/>
                <w:sz w:val="21"/>
                <w:szCs w:val="21"/>
              </w:rPr>
              <w:t>中粮崇左糖业有限公司</w:t>
            </w:r>
          </w:p>
        </w:tc>
        <w:tc>
          <w:tcPr>
            <w:tcW w:w="1825" w:type="dxa"/>
            <w:noWrap w:val="0"/>
            <w:vAlign w:val="center"/>
          </w:tcPr>
          <w:p>
            <w:pPr>
              <w:widowControl/>
              <w:spacing w:line="360" w:lineRule="auto"/>
              <w:jc w:val="center"/>
              <w:textAlignment w:val="center"/>
              <w:rPr>
                <w:rFonts w:ascii="宋体" w:hAnsi="宋体" w:cs="Times New Roman"/>
                <w:sz w:val="21"/>
                <w:szCs w:val="21"/>
              </w:rPr>
            </w:pPr>
            <w:r>
              <w:rPr>
                <w:rFonts w:hint="eastAsia" w:ascii="宋体" w:hAnsi="宋体" w:cs="Times New Roman"/>
                <w:sz w:val="21"/>
                <w:szCs w:val="21"/>
              </w:rPr>
              <w:t>230502</w:t>
            </w:r>
          </w:p>
        </w:tc>
        <w:tc>
          <w:tcPr>
            <w:tcW w:w="2981" w:type="dxa"/>
            <w:noWrap w:val="0"/>
            <w:vAlign w:val="center"/>
          </w:tcPr>
          <w:p>
            <w:pPr>
              <w:widowControl/>
              <w:jc w:val="center"/>
              <w:textAlignment w:val="bottom"/>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未检出（检测限0.0000</w:t>
            </w:r>
            <w:r>
              <w:rPr>
                <w:rFonts w:hint="eastAsia" w:ascii="宋体" w:hAnsi="宋体" w:cs="宋体"/>
                <w:color w:val="000000"/>
                <w:kern w:val="0"/>
                <w:szCs w:val="21"/>
                <w:lang w:bidi="ar"/>
              </w:rPr>
              <w:t>2</w:t>
            </w:r>
            <w:r>
              <w:rPr>
                <w:rFonts w:hint="eastAsia" w:ascii="宋体" w:hAnsi="宋体" w:cs="宋体"/>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2</w:t>
            </w:r>
          </w:p>
        </w:tc>
        <w:tc>
          <w:tcPr>
            <w:tcW w:w="2645" w:type="dxa"/>
            <w:noWrap w:val="0"/>
            <w:vAlign w:val="center"/>
          </w:tcPr>
          <w:p>
            <w:pPr>
              <w:spacing w:line="360" w:lineRule="auto"/>
              <w:jc w:val="center"/>
              <w:rPr>
                <w:rFonts w:ascii="宋体" w:hAnsi="宋体" w:cs="Times New Roman"/>
                <w:szCs w:val="21"/>
              </w:rPr>
            </w:pPr>
            <w:r>
              <w:rPr>
                <w:rFonts w:hint="eastAsia" w:ascii="宋体" w:hAnsi="宋体" w:eastAsia="宋体" w:cs="Times New Roman"/>
                <w:color w:val="000000"/>
                <w:sz w:val="21"/>
                <w:szCs w:val="21"/>
              </w:rPr>
              <w:t>中粮崇左糖业有限公司</w:t>
            </w:r>
          </w:p>
        </w:tc>
        <w:tc>
          <w:tcPr>
            <w:tcW w:w="1825" w:type="dxa"/>
            <w:noWrap w:val="0"/>
            <w:vAlign w:val="center"/>
          </w:tcPr>
          <w:p>
            <w:pPr>
              <w:widowControl/>
              <w:spacing w:line="360" w:lineRule="auto"/>
              <w:jc w:val="center"/>
              <w:textAlignment w:val="center"/>
              <w:rPr>
                <w:rFonts w:ascii="宋体" w:hAnsi="宋体" w:cs="Times New Roman"/>
                <w:sz w:val="21"/>
                <w:szCs w:val="21"/>
              </w:rPr>
            </w:pPr>
            <w:r>
              <w:rPr>
                <w:rFonts w:hint="eastAsia" w:ascii="宋体" w:hAnsi="宋体" w:cs="Times New Roman"/>
                <w:sz w:val="21"/>
                <w:szCs w:val="21"/>
              </w:rPr>
              <w:t>230504</w:t>
            </w:r>
          </w:p>
        </w:tc>
        <w:tc>
          <w:tcPr>
            <w:tcW w:w="2981" w:type="dxa"/>
            <w:noWrap w:val="0"/>
            <w:vAlign w:val="center"/>
          </w:tcPr>
          <w:p>
            <w:pPr>
              <w:widowControl/>
              <w:jc w:val="center"/>
              <w:textAlignment w:val="bottom"/>
              <w:rPr>
                <w:rFonts w:ascii="宋体" w:hAnsi="宋体" w:cs="宋体"/>
                <w:color w:val="000000"/>
                <w:kern w:val="0"/>
                <w:sz w:val="21"/>
                <w:szCs w:val="21"/>
                <w:lang w:bidi="ar"/>
              </w:rPr>
            </w:pPr>
            <w:r>
              <w:rPr>
                <w:rFonts w:hint="eastAsia" w:ascii="宋体" w:hAnsi="宋体" w:cs="宋体"/>
                <w:color w:val="000000"/>
                <w:kern w:val="0"/>
                <w:sz w:val="21"/>
                <w:szCs w:val="21"/>
                <w:lang w:bidi="ar"/>
              </w:rPr>
              <w:t>未检出（检测限0.0000</w:t>
            </w:r>
            <w:r>
              <w:rPr>
                <w:rFonts w:hint="eastAsia" w:ascii="宋体" w:hAnsi="宋体" w:cs="宋体"/>
                <w:color w:val="000000"/>
                <w:kern w:val="0"/>
                <w:szCs w:val="21"/>
                <w:lang w:bidi="ar"/>
              </w:rPr>
              <w:t>2</w:t>
            </w:r>
            <w:r>
              <w:rPr>
                <w:rFonts w:hint="eastAsia" w:ascii="宋体" w:hAnsi="宋体" w:cs="宋体"/>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3</w:t>
            </w:r>
          </w:p>
        </w:tc>
        <w:tc>
          <w:tcPr>
            <w:tcW w:w="2645" w:type="dxa"/>
            <w:noWrap w:val="0"/>
            <w:vAlign w:val="center"/>
          </w:tcPr>
          <w:p>
            <w:pPr>
              <w:spacing w:line="360" w:lineRule="auto"/>
              <w:jc w:val="center"/>
              <w:rPr>
                <w:rFonts w:ascii="宋体" w:hAnsi="宋体" w:cs="Times New Roman"/>
                <w:szCs w:val="21"/>
              </w:rPr>
            </w:pPr>
            <w:r>
              <w:rPr>
                <w:rFonts w:hint="eastAsia" w:ascii="宋体" w:hAnsi="宋体" w:eastAsia="宋体" w:cs="Times New Roman"/>
                <w:color w:val="000000"/>
                <w:sz w:val="21"/>
                <w:szCs w:val="21"/>
              </w:rPr>
              <w:t>中粮崇左糖业有限公司</w:t>
            </w:r>
          </w:p>
        </w:tc>
        <w:tc>
          <w:tcPr>
            <w:tcW w:w="1825" w:type="dxa"/>
            <w:noWrap w:val="0"/>
            <w:vAlign w:val="center"/>
          </w:tcPr>
          <w:p>
            <w:pPr>
              <w:widowControl/>
              <w:spacing w:line="360" w:lineRule="auto"/>
              <w:jc w:val="center"/>
              <w:textAlignment w:val="center"/>
              <w:rPr>
                <w:rFonts w:ascii="宋体" w:hAnsi="宋体" w:cs="Times New Roman"/>
                <w:sz w:val="21"/>
                <w:szCs w:val="21"/>
              </w:rPr>
            </w:pPr>
            <w:r>
              <w:rPr>
                <w:rFonts w:hint="eastAsia" w:ascii="宋体" w:hAnsi="宋体" w:cs="Times New Roman"/>
                <w:sz w:val="21"/>
                <w:szCs w:val="21"/>
              </w:rPr>
              <w:t>230505</w:t>
            </w:r>
          </w:p>
        </w:tc>
        <w:tc>
          <w:tcPr>
            <w:tcW w:w="2981" w:type="dxa"/>
            <w:noWrap w:val="0"/>
            <w:vAlign w:val="center"/>
          </w:tcPr>
          <w:p>
            <w:pPr>
              <w:widowControl/>
              <w:jc w:val="center"/>
              <w:textAlignment w:val="bottom"/>
              <w:rPr>
                <w:rFonts w:ascii="宋体" w:hAnsi="宋体" w:cs="宋体"/>
                <w:color w:val="000000"/>
                <w:kern w:val="0"/>
                <w:sz w:val="21"/>
                <w:szCs w:val="21"/>
                <w:lang w:bidi="ar"/>
              </w:rPr>
            </w:pPr>
            <w:r>
              <w:rPr>
                <w:rFonts w:hint="eastAsia" w:ascii="宋体" w:hAnsi="宋体" w:cs="宋体"/>
                <w:color w:val="000000"/>
                <w:kern w:val="0"/>
                <w:sz w:val="21"/>
                <w:szCs w:val="21"/>
                <w:lang w:bidi="ar"/>
              </w:rPr>
              <w:t>未检出（检测限0.0000</w:t>
            </w:r>
            <w:r>
              <w:rPr>
                <w:rFonts w:hint="eastAsia" w:ascii="宋体" w:hAnsi="宋体" w:cs="宋体"/>
                <w:color w:val="000000"/>
                <w:kern w:val="0"/>
                <w:szCs w:val="21"/>
                <w:lang w:bidi="ar"/>
              </w:rPr>
              <w:t>2</w:t>
            </w:r>
            <w:r>
              <w:rPr>
                <w:rFonts w:hint="eastAsia" w:ascii="宋体" w:hAnsi="宋体" w:cs="宋体"/>
                <w:color w:val="000000"/>
                <w:kern w:val="0"/>
                <w:sz w:val="21"/>
                <w:szCs w:val="21"/>
                <w:lang w:bidi="ar"/>
              </w:rPr>
              <w:t>）</w:t>
            </w:r>
          </w:p>
        </w:tc>
      </w:tr>
    </w:tbl>
    <w:p>
      <w:pPr>
        <w:snapToGrid w:val="0"/>
        <w:spacing w:line="360" w:lineRule="auto"/>
        <w:rPr>
          <w:rFonts w:ascii="Times New Roman" w:hAnsi="Times New Roman" w:cs="Times New Roman"/>
          <w:b/>
          <w:bCs/>
          <w:sz w:val="24"/>
          <w:szCs w:val="24"/>
        </w:rPr>
      </w:pPr>
    </w:p>
    <w:p>
      <w:pPr>
        <w:snapToGrid w:val="0"/>
        <w:spacing w:line="360" w:lineRule="auto"/>
        <w:ind w:firstLine="482" w:firstLineChars="200"/>
        <w:outlineLvl w:val="3"/>
        <w:rPr>
          <w:rFonts w:ascii="Times New Roman" w:hAnsi="Times New Roman" w:cs="Times New Roman"/>
          <w:b/>
          <w:bCs/>
          <w:sz w:val="24"/>
          <w:szCs w:val="24"/>
        </w:rPr>
      </w:pPr>
      <w:r>
        <w:rPr>
          <w:rFonts w:ascii="Times New Roman" w:hAnsi="Times New Roman" w:cs="Times New Roman"/>
          <w:b/>
          <w:bCs/>
          <w:sz w:val="24"/>
          <w:szCs w:val="24"/>
        </w:rPr>
        <w:t>2.3.</w:t>
      </w:r>
      <w:r>
        <w:rPr>
          <w:rFonts w:hint="eastAsia" w:ascii="Times New Roman" w:hAnsi="Times New Roman" w:cs="Times New Roman"/>
          <w:b/>
          <w:bCs/>
          <w:sz w:val="24"/>
          <w:szCs w:val="24"/>
        </w:rPr>
        <w:t xml:space="preserve">4干燥失重 </w:t>
      </w:r>
    </w:p>
    <w:p>
      <w:pPr>
        <w:snapToGrid w:val="0"/>
        <w:spacing w:line="360" w:lineRule="auto"/>
        <w:ind w:firstLine="480" w:firstLineChars="200"/>
        <w:rPr>
          <w:rFonts w:hint="eastAsia" w:ascii="Times New Roman" w:hAnsi="Times New Roman" w:cs="Times New Roman"/>
          <w:bCs/>
          <w:sz w:val="24"/>
          <w:szCs w:val="24"/>
        </w:rPr>
      </w:pPr>
      <w:r>
        <w:rPr>
          <w:rFonts w:hint="eastAsia" w:ascii="Times New Roman" w:hAnsi="Times New Roman" w:cs="Times New Roman"/>
          <w:bCs/>
          <w:sz w:val="24"/>
          <w:szCs w:val="24"/>
        </w:rPr>
        <w:t>蔗糖水分含量过高时，会产生结块现象，影响质量，因此拟订了干燥失重的检测方法。拟定方法如正文，3批样品按拟定方法检验，结果见表11。</w:t>
      </w:r>
    </w:p>
    <w:p>
      <w:pPr>
        <w:snapToGrid/>
        <w:spacing w:line="360" w:lineRule="auto"/>
        <w:jc w:val="center"/>
        <w:rPr>
          <w:rFonts w:hint="eastAsia" w:ascii="Times New Roman" w:hAnsi="Times New Roman" w:cs="Times New Roman"/>
          <w:szCs w:val="21"/>
        </w:rPr>
      </w:pPr>
      <w:r>
        <w:rPr>
          <w:rFonts w:hint="eastAsia" w:ascii="Times New Roman" w:hAnsi="Times New Roman" w:cs="Times New Roman"/>
          <w:szCs w:val="21"/>
        </w:rPr>
        <w:t xml:space="preserve">表11 </w:t>
      </w:r>
      <w:r>
        <w:rPr>
          <w:rFonts w:ascii="Times New Roman" w:hAnsi="Times New Roman" w:cs="Times New Roman"/>
          <w:szCs w:val="21"/>
        </w:rPr>
        <w:t xml:space="preserve"> </w:t>
      </w:r>
      <w:r>
        <w:rPr>
          <w:rFonts w:hint="eastAsia" w:ascii="Times New Roman" w:hAnsi="Times New Roman" w:cs="Times New Roman"/>
          <w:szCs w:val="21"/>
        </w:rPr>
        <w:t>干燥失重测定结果</w:t>
      </w:r>
    </w:p>
    <w:tbl>
      <w:tblPr>
        <w:tblStyle w:val="2"/>
        <w:tblW w:w="8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3580"/>
        <w:gridCol w:w="1725"/>
        <w:gridCol w:w="2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序号</w:t>
            </w:r>
          </w:p>
        </w:tc>
        <w:tc>
          <w:tcPr>
            <w:tcW w:w="3580" w:type="dxa"/>
            <w:noWrap w:val="0"/>
            <w:vAlign w:val="center"/>
          </w:tcPr>
          <w:p>
            <w:pPr>
              <w:spacing w:line="360" w:lineRule="auto"/>
              <w:jc w:val="center"/>
              <w:rPr>
                <w:rFonts w:ascii="宋体" w:hAnsi="宋体" w:cs="Times New Roman"/>
                <w:szCs w:val="21"/>
              </w:rPr>
            </w:pPr>
            <w:r>
              <w:rPr>
                <w:rFonts w:hint="eastAsia" w:ascii="宋体" w:hAnsi="宋体" w:cs="Times New Roman"/>
                <w:szCs w:val="21"/>
              </w:rPr>
              <w:t>生产企业</w:t>
            </w:r>
          </w:p>
        </w:tc>
        <w:tc>
          <w:tcPr>
            <w:tcW w:w="1725" w:type="dxa"/>
            <w:noWrap w:val="0"/>
            <w:vAlign w:val="center"/>
          </w:tcPr>
          <w:p>
            <w:pPr>
              <w:spacing w:line="360" w:lineRule="auto"/>
              <w:jc w:val="center"/>
              <w:rPr>
                <w:rFonts w:ascii="宋体" w:hAnsi="宋体" w:cs="Times New Roman"/>
                <w:szCs w:val="21"/>
              </w:rPr>
            </w:pPr>
            <w:r>
              <w:rPr>
                <w:rFonts w:hint="eastAsia" w:ascii="宋体" w:hAnsi="宋体" w:cs="Times New Roman"/>
                <w:szCs w:val="21"/>
              </w:rPr>
              <w:t>批号</w:t>
            </w:r>
          </w:p>
        </w:tc>
        <w:tc>
          <w:tcPr>
            <w:tcW w:w="2146" w:type="dxa"/>
            <w:noWrap w:val="0"/>
            <w:vAlign w:val="center"/>
          </w:tcPr>
          <w:p>
            <w:pPr>
              <w:spacing w:line="360" w:lineRule="auto"/>
              <w:jc w:val="center"/>
              <w:rPr>
                <w:rFonts w:ascii="宋体" w:hAnsi="宋体" w:cs="Times New Roman"/>
                <w:szCs w:val="21"/>
              </w:rPr>
            </w:pPr>
            <w:r>
              <w:rPr>
                <w:rFonts w:hint="eastAsia" w:ascii="宋体" w:hAnsi="宋体" w:cs="Times New Roman"/>
                <w:szCs w:val="21"/>
              </w:rPr>
              <w:t>干燥失重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1</w:t>
            </w:r>
          </w:p>
        </w:tc>
        <w:tc>
          <w:tcPr>
            <w:tcW w:w="3580" w:type="dxa"/>
            <w:noWrap w:val="0"/>
            <w:vAlign w:val="center"/>
          </w:tcPr>
          <w:p>
            <w:pPr>
              <w:spacing w:line="360" w:lineRule="auto"/>
              <w:jc w:val="center"/>
              <w:rPr>
                <w:rFonts w:ascii="宋体" w:hAnsi="宋体" w:cs="Times New Roman"/>
                <w:szCs w:val="21"/>
              </w:rPr>
            </w:pPr>
            <w:r>
              <w:rPr>
                <w:rFonts w:hint="eastAsia" w:ascii="宋体" w:hAnsi="宋体" w:eastAsia="宋体" w:cs="Times New Roman"/>
                <w:color w:val="000000"/>
                <w:sz w:val="21"/>
                <w:szCs w:val="21"/>
              </w:rPr>
              <w:t>中粮崇左糖业有限公司</w:t>
            </w:r>
          </w:p>
        </w:tc>
        <w:tc>
          <w:tcPr>
            <w:tcW w:w="1725" w:type="dxa"/>
            <w:noWrap w:val="0"/>
            <w:vAlign w:val="center"/>
          </w:tcPr>
          <w:p>
            <w:pPr>
              <w:widowControl/>
              <w:spacing w:line="360" w:lineRule="auto"/>
              <w:jc w:val="center"/>
              <w:textAlignment w:val="center"/>
              <w:rPr>
                <w:rFonts w:ascii="宋体" w:hAnsi="宋体" w:cs="Times New Roman"/>
                <w:szCs w:val="21"/>
              </w:rPr>
            </w:pPr>
            <w:r>
              <w:rPr>
                <w:rFonts w:hint="eastAsia" w:ascii="宋体" w:hAnsi="宋体" w:cs="Times New Roman"/>
                <w:szCs w:val="21"/>
              </w:rPr>
              <w:t>230502</w:t>
            </w:r>
          </w:p>
        </w:tc>
        <w:tc>
          <w:tcPr>
            <w:tcW w:w="2146" w:type="dxa"/>
            <w:noWrap w:val="0"/>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2</w:t>
            </w:r>
          </w:p>
        </w:tc>
        <w:tc>
          <w:tcPr>
            <w:tcW w:w="3580" w:type="dxa"/>
            <w:noWrap w:val="0"/>
            <w:vAlign w:val="center"/>
          </w:tcPr>
          <w:p>
            <w:pPr>
              <w:spacing w:line="360" w:lineRule="auto"/>
              <w:jc w:val="center"/>
              <w:rPr>
                <w:rFonts w:ascii="宋体" w:hAnsi="宋体" w:cs="Times New Roman"/>
                <w:szCs w:val="21"/>
              </w:rPr>
            </w:pPr>
            <w:r>
              <w:rPr>
                <w:rFonts w:hint="eastAsia" w:ascii="宋体" w:hAnsi="宋体" w:eastAsia="宋体" w:cs="Times New Roman"/>
                <w:color w:val="000000"/>
                <w:sz w:val="21"/>
                <w:szCs w:val="21"/>
              </w:rPr>
              <w:t>中粮崇左糖业有限公司</w:t>
            </w:r>
          </w:p>
        </w:tc>
        <w:tc>
          <w:tcPr>
            <w:tcW w:w="1725" w:type="dxa"/>
            <w:noWrap w:val="0"/>
            <w:vAlign w:val="center"/>
          </w:tcPr>
          <w:p>
            <w:pPr>
              <w:widowControl/>
              <w:spacing w:line="360" w:lineRule="auto"/>
              <w:jc w:val="center"/>
              <w:textAlignment w:val="center"/>
              <w:rPr>
                <w:rFonts w:ascii="宋体" w:hAnsi="宋体" w:cs="Times New Roman"/>
                <w:szCs w:val="21"/>
              </w:rPr>
            </w:pPr>
            <w:r>
              <w:rPr>
                <w:rFonts w:hint="eastAsia" w:ascii="宋体" w:hAnsi="宋体" w:cs="Times New Roman"/>
                <w:szCs w:val="21"/>
              </w:rPr>
              <w:t>230504</w:t>
            </w:r>
          </w:p>
        </w:tc>
        <w:tc>
          <w:tcPr>
            <w:tcW w:w="2146" w:type="dxa"/>
            <w:noWrap w:val="0"/>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3</w:t>
            </w:r>
          </w:p>
        </w:tc>
        <w:tc>
          <w:tcPr>
            <w:tcW w:w="3580" w:type="dxa"/>
            <w:noWrap w:val="0"/>
            <w:vAlign w:val="center"/>
          </w:tcPr>
          <w:p>
            <w:pPr>
              <w:spacing w:line="360" w:lineRule="auto"/>
              <w:jc w:val="center"/>
              <w:rPr>
                <w:rFonts w:ascii="宋体" w:hAnsi="宋体" w:cs="Times New Roman"/>
                <w:szCs w:val="21"/>
              </w:rPr>
            </w:pPr>
            <w:r>
              <w:rPr>
                <w:rFonts w:hint="eastAsia" w:ascii="宋体" w:hAnsi="宋体" w:eastAsia="宋体" w:cs="Times New Roman"/>
                <w:color w:val="000000"/>
                <w:sz w:val="21"/>
                <w:szCs w:val="21"/>
              </w:rPr>
              <w:t>中粮崇左糖业有限公司</w:t>
            </w:r>
          </w:p>
        </w:tc>
        <w:tc>
          <w:tcPr>
            <w:tcW w:w="1725" w:type="dxa"/>
            <w:noWrap w:val="0"/>
            <w:vAlign w:val="center"/>
          </w:tcPr>
          <w:p>
            <w:pPr>
              <w:widowControl/>
              <w:spacing w:line="360" w:lineRule="auto"/>
              <w:jc w:val="center"/>
              <w:textAlignment w:val="center"/>
              <w:rPr>
                <w:rFonts w:ascii="宋体" w:hAnsi="宋体" w:cs="Times New Roman"/>
                <w:szCs w:val="21"/>
              </w:rPr>
            </w:pPr>
            <w:r>
              <w:rPr>
                <w:rFonts w:hint="eastAsia" w:ascii="宋体" w:hAnsi="宋体" w:cs="Times New Roman"/>
                <w:szCs w:val="21"/>
              </w:rPr>
              <w:t>230505</w:t>
            </w:r>
          </w:p>
        </w:tc>
        <w:tc>
          <w:tcPr>
            <w:tcW w:w="2146" w:type="dxa"/>
            <w:noWrap w:val="0"/>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0.3</w:t>
            </w:r>
            <w:r>
              <w:rPr>
                <w:rFonts w:hint="eastAsia" w:ascii="宋体" w:hAnsi="宋体" w:cs="宋体"/>
                <w:color w:val="000000"/>
                <w:kern w:val="0"/>
                <w:szCs w:val="21"/>
                <w:highlight w:val="none"/>
                <w:lang w:bidi="ar"/>
              </w:rPr>
              <w:t>%（不符合规定）</w:t>
            </w:r>
          </w:p>
        </w:tc>
      </w:tr>
    </w:tbl>
    <w:p>
      <w:pPr>
        <w:snapToGrid w:val="0"/>
        <w:spacing w:line="360" w:lineRule="auto"/>
        <w:rPr>
          <w:rFonts w:hint="eastAsia" w:ascii="Times New Roman" w:hAnsi="Times New Roman" w:cs="Times New Roman"/>
          <w:bCs/>
          <w:sz w:val="24"/>
          <w:szCs w:val="24"/>
        </w:rPr>
      </w:pPr>
    </w:p>
    <w:p>
      <w:pPr>
        <w:snapToGrid w:val="0"/>
        <w:spacing w:line="360" w:lineRule="auto"/>
        <w:ind w:firstLine="482" w:firstLineChars="200"/>
        <w:outlineLvl w:val="3"/>
        <w:rPr>
          <w:rFonts w:ascii="Times New Roman" w:hAnsi="Times New Roman" w:cs="Times New Roman"/>
          <w:b/>
          <w:bCs/>
          <w:sz w:val="24"/>
          <w:szCs w:val="24"/>
        </w:rPr>
      </w:pPr>
      <w:r>
        <w:rPr>
          <w:rFonts w:hint="eastAsia" w:ascii="Times New Roman" w:hAnsi="Times New Roman" w:cs="Times New Roman"/>
          <w:b/>
          <w:bCs/>
          <w:sz w:val="24"/>
          <w:szCs w:val="24"/>
        </w:rPr>
        <w:t xml:space="preserve">2.3.5炽灼残渣  </w:t>
      </w:r>
    </w:p>
    <w:p>
      <w:pPr>
        <w:snapToGrid w:val="0"/>
        <w:spacing w:line="360" w:lineRule="auto"/>
        <w:ind w:firstLine="480" w:firstLineChars="200"/>
        <w:rPr>
          <w:rFonts w:hint="eastAsia" w:ascii="Times New Roman" w:hAnsi="Times New Roman" w:cs="Times New Roman"/>
          <w:bCs/>
          <w:sz w:val="24"/>
          <w:szCs w:val="24"/>
        </w:rPr>
      </w:pPr>
      <w:r>
        <w:rPr>
          <w:rFonts w:hint="eastAsia" w:ascii="Times New Roman" w:hAnsi="Times New Roman" w:cs="Times New Roman"/>
          <w:bCs/>
          <w:sz w:val="24"/>
          <w:szCs w:val="24"/>
        </w:rPr>
        <w:t>拟定方法如正文，3批按拟定方法检验，均符合规定（见表1</w:t>
      </w:r>
      <w:r>
        <w:rPr>
          <w:rFonts w:ascii="Times New Roman" w:hAnsi="Times New Roman" w:cs="Times New Roman"/>
          <w:bCs/>
          <w:sz w:val="24"/>
          <w:szCs w:val="24"/>
        </w:rPr>
        <w:t>2</w:t>
      </w:r>
      <w:r>
        <w:rPr>
          <w:rFonts w:hint="eastAsia" w:ascii="Times New Roman" w:hAnsi="Times New Roman" w:cs="Times New Roman"/>
          <w:bCs/>
          <w:sz w:val="24"/>
          <w:szCs w:val="24"/>
        </w:rPr>
        <w:t>）。</w:t>
      </w:r>
    </w:p>
    <w:p>
      <w:pPr>
        <w:snapToGrid/>
        <w:spacing w:line="360" w:lineRule="auto"/>
        <w:jc w:val="center"/>
        <w:rPr>
          <w:rFonts w:hint="eastAsia" w:ascii="Times New Roman" w:hAnsi="Times New Roman" w:cs="Times New Roman"/>
          <w:szCs w:val="21"/>
        </w:rPr>
      </w:pPr>
      <w:r>
        <w:rPr>
          <w:rFonts w:hint="eastAsia" w:ascii="Times New Roman" w:hAnsi="Times New Roman" w:cs="Times New Roman"/>
          <w:szCs w:val="21"/>
        </w:rPr>
        <w:t>表12</w:t>
      </w:r>
      <w:r>
        <w:rPr>
          <w:rFonts w:ascii="Times New Roman" w:hAnsi="Times New Roman" w:cs="Times New Roman"/>
          <w:szCs w:val="21"/>
        </w:rPr>
        <w:t xml:space="preserve">  </w:t>
      </w:r>
      <w:r>
        <w:rPr>
          <w:rFonts w:hint="eastAsia" w:ascii="Times New Roman" w:hAnsi="Times New Roman" w:cs="Times New Roman"/>
          <w:szCs w:val="21"/>
        </w:rPr>
        <w:t>炽灼残渣测定结果</w:t>
      </w:r>
    </w:p>
    <w:tbl>
      <w:tblPr>
        <w:tblStyle w:val="2"/>
        <w:tblW w:w="8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3717"/>
        <w:gridCol w:w="1867"/>
        <w:gridCol w:w="1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序号</w:t>
            </w:r>
          </w:p>
        </w:tc>
        <w:tc>
          <w:tcPr>
            <w:tcW w:w="3717" w:type="dxa"/>
            <w:noWrap w:val="0"/>
            <w:vAlign w:val="center"/>
          </w:tcPr>
          <w:p>
            <w:pPr>
              <w:spacing w:line="360" w:lineRule="auto"/>
              <w:jc w:val="center"/>
              <w:rPr>
                <w:rFonts w:ascii="宋体" w:hAnsi="宋体" w:cs="Times New Roman"/>
                <w:szCs w:val="21"/>
              </w:rPr>
            </w:pPr>
            <w:r>
              <w:rPr>
                <w:rFonts w:hint="eastAsia" w:ascii="宋体" w:hAnsi="宋体" w:cs="Times New Roman"/>
                <w:szCs w:val="21"/>
              </w:rPr>
              <w:t>生产企业</w:t>
            </w:r>
          </w:p>
        </w:tc>
        <w:tc>
          <w:tcPr>
            <w:tcW w:w="1867" w:type="dxa"/>
            <w:noWrap w:val="0"/>
            <w:vAlign w:val="center"/>
          </w:tcPr>
          <w:p>
            <w:pPr>
              <w:spacing w:line="360" w:lineRule="auto"/>
              <w:jc w:val="center"/>
              <w:rPr>
                <w:rFonts w:ascii="宋体" w:hAnsi="宋体" w:cs="Times New Roman"/>
                <w:szCs w:val="21"/>
              </w:rPr>
            </w:pPr>
            <w:r>
              <w:rPr>
                <w:rFonts w:hint="eastAsia" w:ascii="宋体" w:hAnsi="宋体" w:cs="Times New Roman"/>
                <w:szCs w:val="21"/>
              </w:rPr>
              <w:t>批号</w:t>
            </w:r>
          </w:p>
        </w:tc>
        <w:tc>
          <w:tcPr>
            <w:tcW w:w="1867"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炽灼残渣（%）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1</w:t>
            </w:r>
          </w:p>
        </w:tc>
        <w:tc>
          <w:tcPr>
            <w:tcW w:w="3717" w:type="dxa"/>
            <w:noWrap w:val="0"/>
            <w:vAlign w:val="center"/>
          </w:tcPr>
          <w:p>
            <w:pPr>
              <w:spacing w:line="360" w:lineRule="auto"/>
              <w:jc w:val="center"/>
              <w:rPr>
                <w:rFonts w:ascii="宋体" w:hAnsi="宋体" w:cs="Times New Roman"/>
                <w:szCs w:val="21"/>
              </w:rPr>
            </w:pPr>
            <w:r>
              <w:rPr>
                <w:rFonts w:hint="eastAsia" w:ascii="宋体" w:hAnsi="宋体" w:eastAsia="宋体" w:cs="Times New Roman"/>
                <w:color w:val="000000"/>
                <w:sz w:val="21"/>
                <w:szCs w:val="21"/>
              </w:rPr>
              <w:t>中粮崇左糖业有限公司</w:t>
            </w:r>
          </w:p>
        </w:tc>
        <w:tc>
          <w:tcPr>
            <w:tcW w:w="1867" w:type="dxa"/>
            <w:noWrap w:val="0"/>
            <w:vAlign w:val="center"/>
          </w:tcPr>
          <w:p>
            <w:pPr>
              <w:widowControl/>
              <w:spacing w:line="360" w:lineRule="auto"/>
              <w:jc w:val="center"/>
              <w:textAlignment w:val="center"/>
              <w:rPr>
                <w:rFonts w:ascii="宋体" w:hAnsi="宋体" w:cs="Times New Roman"/>
                <w:szCs w:val="21"/>
              </w:rPr>
            </w:pPr>
            <w:r>
              <w:rPr>
                <w:rFonts w:hint="eastAsia" w:ascii="宋体" w:hAnsi="宋体" w:cs="Times New Roman"/>
                <w:szCs w:val="21"/>
              </w:rPr>
              <w:t>230502</w:t>
            </w:r>
          </w:p>
        </w:tc>
        <w:tc>
          <w:tcPr>
            <w:tcW w:w="1867" w:type="dxa"/>
            <w:noWrap w:val="0"/>
            <w:vAlign w:val="center"/>
          </w:tcPr>
          <w:p>
            <w:pPr>
              <w:widowControl/>
              <w:jc w:val="center"/>
              <w:textAlignment w:val="bottom"/>
              <w:rPr>
                <w:rFonts w:ascii="宋体" w:hAnsi="宋体" w:cs="宋体"/>
                <w:color w:val="000000"/>
                <w:kern w:val="0"/>
                <w:szCs w:val="21"/>
                <w:lang w:bidi="ar"/>
              </w:rPr>
            </w:pPr>
            <w:r>
              <w:rPr>
                <w:rFonts w:hint="eastAsia" w:ascii="宋体" w:hAnsi="宋体" w:cs="宋体"/>
                <w:color w:val="000000"/>
                <w:kern w:val="0"/>
                <w:szCs w:val="21"/>
                <w:lang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2</w:t>
            </w:r>
          </w:p>
        </w:tc>
        <w:tc>
          <w:tcPr>
            <w:tcW w:w="3717" w:type="dxa"/>
            <w:noWrap w:val="0"/>
            <w:vAlign w:val="center"/>
          </w:tcPr>
          <w:p>
            <w:pPr>
              <w:spacing w:line="360" w:lineRule="auto"/>
              <w:jc w:val="center"/>
              <w:rPr>
                <w:rFonts w:ascii="宋体" w:hAnsi="宋体" w:cs="Times New Roman"/>
                <w:szCs w:val="21"/>
              </w:rPr>
            </w:pPr>
            <w:r>
              <w:rPr>
                <w:rFonts w:hint="eastAsia" w:ascii="宋体" w:hAnsi="宋体" w:eastAsia="宋体" w:cs="Times New Roman"/>
                <w:color w:val="000000"/>
                <w:sz w:val="21"/>
                <w:szCs w:val="21"/>
              </w:rPr>
              <w:t>中粮崇左糖业有限公司</w:t>
            </w:r>
          </w:p>
        </w:tc>
        <w:tc>
          <w:tcPr>
            <w:tcW w:w="1867" w:type="dxa"/>
            <w:noWrap w:val="0"/>
            <w:vAlign w:val="center"/>
          </w:tcPr>
          <w:p>
            <w:pPr>
              <w:widowControl/>
              <w:spacing w:line="360" w:lineRule="auto"/>
              <w:jc w:val="center"/>
              <w:textAlignment w:val="center"/>
              <w:rPr>
                <w:rFonts w:ascii="宋体" w:hAnsi="宋体" w:cs="Times New Roman"/>
                <w:szCs w:val="21"/>
              </w:rPr>
            </w:pPr>
            <w:r>
              <w:rPr>
                <w:rFonts w:hint="eastAsia" w:ascii="宋体" w:hAnsi="宋体" w:cs="Times New Roman"/>
                <w:szCs w:val="21"/>
              </w:rPr>
              <w:t>230504</w:t>
            </w:r>
          </w:p>
        </w:tc>
        <w:tc>
          <w:tcPr>
            <w:tcW w:w="1867" w:type="dxa"/>
            <w:noWrap w:val="0"/>
            <w:vAlign w:val="center"/>
          </w:tcPr>
          <w:p>
            <w:pPr>
              <w:widowControl/>
              <w:jc w:val="center"/>
              <w:textAlignment w:val="bottom"/>
              <w:rPr>
                <w:rFonts w:ascii="宋体" w:hAnsi="宋体" w:cs="宋体"/>
                <w:color w:val="000000"/>
                <w:kern w:val="0"/>
                <w:szCs w:val="21"/>
                <w:lang w:bidi="ar"/>
              </w:rPr>
            </w:pPr>
            <w:r>
              <w:rPr>
                <w:rFonts w:hint="eastAsia" w:ascii="宋体" w:hAnsi="宋体" w:cs="宋体"/>
                <w:color w:val="000000"/>
                <w:kern w:val="0"/>
                <w:szCs w:val="21"/>
                <w:lang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noWrap w:val="0"/>
            <w:vAlign w:val="center"/>
          </w:tcPr>
          <w:p>
            <w:pPr>
              <w:spacing w:line="360" w:lineRule="auto"/>
              <w:jc w:val="center"/>
              <w:rPr>
                <w:rFonts w:hint="eastAsia" w:ascii="宋体" w:hAnsi="宋体" w:cs="Times New Roman"/>
                <w:szCs w:val="21"/>
              </w:rPr>
            </w:pPr>
            <w:r>
              <w:rPr>
                <w:rFonts w:hint="eastAsia" w:ascii="宋体" w:hAnsi="宋体" w:cs="Times New Roman"/>
                <w:szCs w:val="21"/>
              </w:rPr>
              <w:t>3</w:t>
            </w:r>
          </w:p>
        </w:tc>
        <w:tc>
          <w:tcPr>
            <w:tcW w:w="3717" w:type="dxa"/>
            <w:noWrap w:val="0"/>
            <w:vAlign w:val="center"/>
          </w:tcPr>
          <w:p>
            <w:pPr>
              <w:spacing w:line="360" w:lineRule="auto"/>
              <w:jc w:val="center"/>
              <w:rPr>
                <w:rFonts w:ascii="宋体" w:hAnsi="宋体" w:cs="Times New Roman"/>
                <w:szCs w:val="21"/>
              </w:rPr>
            </w:pPr>
            <w:r>
              <w:rPr>
                <w:rFonts w:hint="eastAsia" w:ascii="宋体" w:hAnsi="宋体" w:eastAsia="宋体" w:cs="Times New Roman"/>
                <w:color w:val="000000"/>
                <w:sz w:val="21"/>
                <w:szCs w:val="21"/>
              </w:rPr>
              <w:t>中粮崇左糖业有限公司</w:t>
            </w:r>
          </w:p>
        </w:tc>
        <w:tc>
          <w:tcPr>
            <w:tcW w:w="1867" w:type="dxa"/>
            <w:noWrap w:val="0"/>
            <w:vAlign w:val="center"/>
          </w:tcPr>
          <w:p>
            <w:pPr>
              <w:widowControl/>
              <w:spacing w:line="360" w:lineRule="auto"/>
              <w:jc w:val="center"/>
              <w:textAlignment w:val="center"/>
              <w:rPr>
                <w:rFonts w:ascii="宋体" w:hAnsi="宋体" w:cs="Times New Roman"/>
                <w:szCs w:val="21"/>
              </w:rPr>
            </w:pPr>
            <w:r>
              <w:rPr>
                <w:rFonts w:hint="eastAsia" w:ascii="宋体" w:hAnsi="宋体" w:cs="Times New Roman"/>
                <w:szCs w:val="21"/>
              </w:rPr>
              <w:t>230505</w:t>
            </w:r>
          </w:p>
        </w:tc>
        <w:tc>
          <w:tcPr>
            <w:tcW w:w="1867" w:type="dxa"/>
            <w:noWrap w:val="0"/>
            <w:vAlign w:val="center"/>
          </w:tcPr>
          <w:p>
            <w:pPr>
              <w:widowControl/>
              <w:jc w:val="center"/>
              <w:textAlignment w:val="bottom"/>
              <w:rPr>
                <w:rFonts w:ascii="宋体" w:hAnsi="宋体" w:cs="宋体"/>
                <w:color w:val="000000"/>
                <w:kern w:val="0"/>
                <w:szCs w:val="21"/>
                <w:lang w:bidi="ar"/>
              </w:rPr>
            </w:pPr>
            <w:r>
              <w:rPr>
                <w:rFonts w:hint="eastAsia" w:ascii="宋体" w:hAnsi="宋体" w:cs="宋体"/>
                <w:color w:val="000000"/>
                <w:kern w:val="0"/>
                <w:szCs w:val="21"/>
                <w:lang w:bidi="ar"/>
              </w:rPr>
              <w:t>0.08</w:t>
            </w:r>
          </w:p>
        </w:tc>
      </w:tr>
    </w:tbl>
    <w:p>
      <w:pPr>
        <w:snapToGrid w:val="0"/>
        <w:spacing w:line="360" w:lineRule="auto"/>
        <w:rPr>
          <w:rFonts w:hint="eastAsia" w:ascii="Times New Roman" w:hAnsi="Times New Roman" w:cs="Times New Roman"/>
          <w:bCs/>
          <w:sz w:val="24"/>
          <w:szCs w:val="24"/>
        </w:rPr>
      </w:pPr>
    </w:p>
    <w:p>
      <w:pPr>
        <w:snapToGrid w:val="0"/>
        <w:spacing w:line="360" w:lineRule="auto"/>
        <w:ind w:firstLine="482" w:firstLineChars="200"/>
        <w:outlineLvl w:val="3"/>
        <w:rPr>
          <w:rFonts w:ascii="Times New Roman" w:hAnsi="Times New Roman" w:cs="Times New Roman"/>
          <w:b/>
          <w:bCs/>
          <w:sz w:val="24"/>
          <w:szCs w:val="24"/>
        </w:rPr>
      </w:pPr>
      <w:r>
        <w:rPr>
          <w:rFonts w:hint="eastAsia" w:ascii="Times New Roman" w:hAnsi="Times New Roman" w:cs="Times New Roman"/>
          <w:b/>
          <w:bCs/>
          <w:sz w:val="24"/>
          <w:szCs w:val="24"/>
        </w:rPr>
        <w:t xml:space="preserve">2.3.6重金属 </w:t>
      </w:r>
    </w:p>
    <w:p>
      <w:pPr>
        <w:snapToGrid w:val="0"/>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t>蔗糖在种植和生产过程中有可能会引入重金属杂质污染，因此拟订重金属检查项，拟定方法见标准正文。3批样品按拟定方法检验，均符合规定。</w:t>
      </w:r>
    </w:p>
    <w:p>
      <w:pPr>
        <w:snapToGrid w:val="0"/>
        <w:spacing w:line="360" w:lineRule="auto"/>
        <w:ind w:firstLine="480" w:firstLineChars="200"/>
        <w:rPr>
          <w:rFonts w:hint="eastAsia" w:ascii="Times New Roman" w:hAnsi="Times New Roman" w:cs="Times New Roman"/>
          <w:bCs/>
          <w:sz w:val="24"/>
          <w:szCs w:val="24"/>
        </w:rPr>
      </w:pPr>
    </w:p>
    <w:p>
      <w:pPr>
        <w:snapToGrid w:val="0"/>
        <w:spacing w:line="360" w:lineRule="auto"/>
        <w:ind w:firstLine="482" w:firstLineChars="200"/>
        <w:outlineLvl w:val="3"/>
        <w:rPr>
          <w:rFonts w:hint="eastAsia" w:ascii="Times New Roman" w:hAnsi="Times New Roman" w:cs="Times New Roman"/>
          <w:b/>
          <w:bCs/>
          <w:sz w:val="24"/>
          <w:szCs w:val="24"/>
        </w:rPr>
      </w:pPr>
      <w:r>
        <w:rPr>
          <w:rFonts w:hint="eastAsia" w:ascii="Times New Roman" w:hAnsi="Times New Roman" w:cs="Times New Roman"/>
          <w:b/>
          <w:bCs/>
          <w:sz w:val="24"/>
          <w:szCs w:val="24"/>
        </w:rPr>
        <w:t>2.3.7细菌内毒素</w:t>
      </w:r>
    </w:p>
    <w:p>
      <w:pPr>
        <w:snapToGrid w:val="0"/>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植物来源的蔗糖在制备过程中，革兰氏阴性菌细胞坏死或者破坏之后释放出内毒素。内毒素是革兰氏阴性菌细胞壁的一种成分，由 O-抗原、核心寡糖和脂质 A 组成，具有耐热性和稳定性。人体对细菌内毒素极为敏感，可产生各种生理反应，注射2 ng /kg 剂量的内毒素即可导致发热，较高剂量可引发血液循环问题、内毒素休克甚至死亡。</w:t>
      </w:r>
      <w:r>
        <w:rPr>
          <w:rFonts w:hint="eastAsia" w:ascii="Times New Roman" w:hAnsi="Times New Roman" w:cs="Times New Roman"/>
          <w:bCs/>
          <w:sz w:val="24"/>
          <w:szCs w:val="24"/>
        </w:rPr>
        <w:t>因此参照美国药典，拟定了注射用蔗糖的细菌内毒素检查项。</w:t>
      </w:r>
    </w:p>
    <w:p>
      <w:pPr>
        <w:snapToGrid w:val="0"/>
        <w:spacing w:line="360" w:lineRule="auto"/>
        <w:ind w:firstLine="482" w:firstLineChars="200"/>
        <w:rPr>
          <w:rFonts w:hint="eastAsia" w:ascii="Times New Roman" w:hAnsi="Times New Roman" w:cs="Times New Roman"/>
          <w:b/>
          <w:bCs/>
          <w:sz w:val="24"/>
          <w:szCs w:val="24"/>
        </w:rPr>
      </w:pPr>
      <w:r>
        <w:rPr>
          <w:rFonts w:hint="eastAsia" w:ascii="Times New Roman" w:hAnsi="Times New Roman" w:cs="Times New Roman"/>
          <w:b/>
          <w:bCs/>
          <w:sz w:val="24"/>
          <w:szCs w:val="24"/>
        </w:rPr>
        <w:t>2.3.</w:t>
      </w:r>
      <w:r>
        <w:rPr>
          <w:rFonts w:ascii="Times New Roman" w:hAnsi="Times New Roman" w:cs="Times New Roman"/>
          <w:b/>
          <w:bCs/>
          <w:sz w:val="24"/>
          <w:szCs w:val="24"/>
        </w:rPr>
        <w:t>8</w:t>
      </w:r>
      <w:r>
        <w:rPr>
          <w:rFonts w:hint="eastAsia" w:ascii="Times New Roman" w:hAnsi="Times New Roman" w:cs="Times New Roman"/>
          <w:b/>
          <w:bCs/>
          <w:sz w:val="24"/>
          <w:szCs w:val="24"/>
        </w:rPr>
        <w:t>微生物限度</w:t>
      </w:r>
    </w:p>
    <w:p>
      <w:pPr>
        <w:snapToGrid w:val="0"/>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t>对注射用蔗糖微生物限度检查方法进行研究，项目包括需氧菌总数、霉菌和酵母菌总数、大肠埃希菌。方法经适用性试验，符合《中国药典》</w:t>
      </w:r>
      <w:r>
        <w:rPr>
          <w:rFonts w:ascii="Times New Roman" w:hAnsi="Times New Roman" w:cs="Times New Roman"/>
          <w:bCs/>
          <w:sz w:val="24"/>
          <w:szCs w:val="24"/>
        </w:rPr>
        <w:t>2020</w:t>
      </w:r>
      <w:r>
        <w:rPr>
          <w:rFonts w:hint="eastAsia" w:ascii="Times New Roman" w:hAnsi="Times New Roman" w:cs="Times New Roman"/>
          <w:bCs/>
          <w:sz w:val="24"/>
          <w:szCs w:val="24"/>
        </w:rPr>
        <w:t>年版四部通则</w:t>
      </w:r>
      <w:r>
        <w:rPr>
          <w:rFonts w:ascii="Times New Roman" w:hAnsi="Times New Roman" w:cs="Times New Roman"/>
          <w:bCs/>
          <w:sz w:val="24"/>
          <w:szCs w:val="24"/>
        </w:rPr>
        <w:t>1105</w:t>
      </w:r>
      <w:r>
        <w:rPr>
          <w:rFonts w:hint="eastAsia" w:ascii="Times New Roman" w:hAnsi="Times New Roman" w:cs="Times New Roman"/>
          <w:bCs/>
          <w:sz w:val="24"/>
          <w:szCs w:val="24"/>
        </w:rPr>
        <w:t>非无菌产品微生物限度检查：微生物计数法和通则</w:t>
      </w:r>
      <w:r>
        <w:rPr>
          <w:rFonts w:ascii="Times New Roman" w:hAnsi="Times New Roman" w:cs="Times New Roman"/>
          <w:bCs/>
          <w:sz w:val="24"/>
          <w:szCs w:val="24"/>
        </w:rPr>
        <w:t>1106</w:t>
      </w:r>
      <w:r>
        <w:rPr>
          <w:rFonts w:hint="eastAsia" w:ascii="Times New Roman" w:hAnsi="Times New Roman" w:cs="Times New Roman"/>
          <w:bCs/>
          <w:sz w:val="24"/>
          <w:szCs w:val="24"/>
        </w:rPr>
        <w:t>非无菌产品微生物限度检查：控制菌检查法的要求。</w:t>
      </w:r>
    </w:p>
    <w:p>
      <w:pPr>
        <w:snapToGrid w:val="0"/>
        <w:spacing w:line="360" w:lineRule="auto"/>
        <w:ind w:firstLine="480" w:firstLineChars="200"/>
        <w:rPr>
          <w:rFonts w:hint="eastAsia" w:ascii="Times New Roman" w:hAnsi="Times New Roman" w:cs="Times New Roman"/>
          <w:bCs/>
          <w:sz w:val="24"/>
          <w:szCs w:val="24"/>
        </w:rPr>
      </w:pPr>
    </w:p>
    <w:p>
      <w:pPr>
        <w:snapToGrid w:val="0"/>
        <w:spacing w:line="360" w:lineRule="auto"/>
        <w:rPr>
          <w:rFonts w:ascii="Times New Roman" w:hAnsi="Times New Roman" w:cs="Times New Roman"/>
          <w:bCs/>
          <w:sz w:val="24"/>
          <w:szCs w:val="24"/>
        </w:rPr>
      </w:pPr>
    </w:p>
    <w:p>
      <w:bookmarkStart w:id="4" w:name="_GoBack"/>
      <w:bookmarkEnd w:id="4"/>
    </w:p>
    <w:sectPr>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dhY2Q5NmQyZTZiYWE2MGRjOTZjNmU1YTE4Njg5YzQifQ=="/>
  </w:docVars>
  <w:rsids>
    <w:rsidRoot w:val="00000000"/>
    <w:rsid w:val="02F63D76"/>
    <w:rsid w:val="0BE04A65"/>
    <w:rsid w:val="1359477E"/>
    <w:rsid w:val="3ABD5DEE"/>
    <w:rsid w:val="548F2152"/>
    <w:rsid w:val="6A9F75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NormalIndent"/>
    <w:autoRedefine/>
    <w:qFormat/>
    <w:uiPriority w:val="0"/>
    <w:pPr>
      <w:widowControl w:val="0"/>
      <w:adjustRightInd w:val="0"/>
      <w:spacing w:line="312" w:lineRule="atLeast"/>
      <w:ind w:firstLine="200" w:firstLineChars="200"/>
      <w:jc w:val="both"/>
    </w:pPr>
    <w:rPr>
      <w:rFonts w:ascii="Calibri" w:hAnsi="Calibri" w:eastAsia="宋体" w:cs="Times New Roman"/>
      <w:sz w:val="28"/>
      <w:lang w:val="en-US" w:eastAsia="zh-CN" w:bidi="ar-SA"/>
    </w:r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41</Words>
  <Characters>46</Characters>
  <Lines>0</Lines>
  <Paragraphs>0</Paragraphs>
  <TotalTime>2</TotalTime>
  <ScaleCrop>false</ScaleCrop>
  <LinksUpToDate>false</LinksUpToDate>
  <CharactersWithSpaces>46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2024-05-29T09:00:00Z</dcterms:created>
  <dc:creator>gx</dc:creator>
  <cp:lastModifiedBy>远航</cp:lastModifiedBy>
  <dcterms:modified xsi:type="dcterms:W3CDTF">2024-05-29T09:12:49Z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2E61FFF85D894117A613E9A2F0AAEDD7_12</vt:lpwstr>
  </property>
</Properties>
</file>