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广西</w:t>
      </w:r>
      <w:r>
        <w:rPr>
          <w:rFonts w:hint="eastAsia" w:ascii="方正小标宋简体" w:hAnsi="方正小标宋简体" w:eastAsia="方正小标宋简体" w:cs="方正小标宋简体"/>
          <w:sz w:val="44"/>
          <w:szCs w:val="44"/>
          <w:lang w:eastAsia="zh-CN"/>
        </w:rPr>
        <w:t>质量协会</w:t>
      </w:r>
      <w:r>
        <w:rPr>
          <w:rFonts w:hint="eastAsia" w:ascii="方正小标宋简体" w:hAnsi="方正小标宋简体" w:eastAsia="方正小标宋简体" w:cs="方正小标宋简体"/>
          <w:sz w:val="44"/>
          <w:szCs w:val="44"/>
        </w:rPr>
        <w:t>团体标准</w:t>
      </w: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《儿童用糖》</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送审稿</w:t>
      </w:r>
      <w:r>
        <w:rPr>
          <w:rFonts w:hint="eastAsia" w:ascii="仿宋_GB2312" w:hAnsi="仿宋_GB2312" w:eastAsia="仿宋_GB2312" w:cs="仿宋_GB2312"/>
          <w:sz w:val="32"/>
          <w:szCs w:val="32"/>
        </w:rPr>
        <w:t>）</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编制说明</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4"/>
        <w:ind w:firstLine="0" w:firstLineChars="0"/>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广西壮族自治区药品检验研究院</w:t>
      </w:r>
    </w:p>
    <w:p>
      <w:pPr>
        <w:pStyle w:val="4"/>
        <w:ind w:firstLine="0" w:firstLineChars="0"/>
        <w:jc w:val="center"/>
        <w:rPr>
          <w:rFonts w:hint="eastAsia" w:ascii="黑体" w:hAnsi="黑体" w:eastAsia="黑体" w:cs="黑体"/>
          <w:sz w:val="32"/>
          <w:szCs w:val="32"/>
          <w:lang w:val="en-US" w:eastAsia="zh-CN"/>
        </w:rPr>
        <w:sectPr>
          <w:pgSz w:w="11906" w:h="16838"/>
          <w:pgMar w:top="1440" w:right="1800" w:bottom="1440" w:left="1800" w:header="851" w:footer="992" w:gutter="0"/>
          <w:pgNumType w:fmt="numberInDash"/>
          <w:cols w:space="720" w:num="1"/>
          <w:docGrid w:type="lines" w:linePitch="312" w:charSpace="0"/>
        </w:sectPr>
      </w:pPr>
      <w:r>
        <w:rPr>
          <w:rFonts w:hint="eastAsia" w:ascii="黑体" w:hAnsi="黑体" w:eastAsia="黑体" w:cs="黑体"/>
          <w:sz w:val="32"/>
          <w:szCs w:val="32"/>
        </w:rPr>
        <w:t>202</w:t>
      </w:r>
      <w:r>
        <w:rPr>
          <w:rFonts w:hint="eastAsia" w:ascii="黑体" w:hAnsi="黑体" w:eastAsia="黑体" w:cs="黑体"/>
          <w:sz w:val="32"/>
          <w:szCs w:val="32"/>
          <w:lang w:val="en-US" w:eastAsia="zh-CN"/>
        </w:rPr>
        <w:t>4</w:t>
      </w:r>
      <w:r>
        <w:rPr>
          <w:rFonts w:hint="eastAsia" w:ascii="黑体" w:hAnsi="黑体" w:eastAsia="黑体" w:cs="黑体"/>
          <w:sz w:val="32"/>
          <w:szCs w:val="32"/>
          <w:highlight w:val="none"/>
        </w:rPr>
        <w:t>.</w:t>
      </w:r>
      <w:r>
        <w:rPr>
          <w:rFonts w:hint="eastAsia" w:ascii="黑体" w:hAnsi="黑体" w:eastAsia="黑体" w:cs="黑体"/>
          <w:sz w:val="32"/>
          <w:szCs w:val="32"/>
          <w:highlight w:val="none"/>
          <w:lang w:val="en-US" w:eastAsia="zh-CN"/>
        </w:rPr>
        <w:t>5</w:t>
      </w:r>
    </w:p>
    <w:p>
      <w:pPr>
        <w:jc w:val="center"/>
        <w:outlineLvl w:val="0"/>
        <w:rPr>
          <w:rFonts w:hint="eastAsia" w:cs="Times New Roman"/>
          <w:b/>
          <w:sz w:val="32"/>
          <w:szCs w:val="32"/>
        </w:rPr>
      </w:pPr>
      <w:r>
        <w:rPr>
          <w:rFonts w:hint="eastAsia" w:cs="Times New Roman"/>
          <w:b/>
          <w:sz w:val="32"/>
          <w:szCs w:val="32"/>
        </w:rPr>
        <w:t>儿童用糖（拟定标准）</w:t>
      </w:r>
    </w:p>
    <w:p>
      <w:pPr>
        <w:snapToGrid w:val="0"/>
        <w:spacing w:line="360" w:lineRule="auto"/>
        <w:jc w:val="center"/>
        <w:rPr>
          <w:rFonts w:ascii="Times New Roman" w:hAnsi="Times New Roman" w:cs="Times New Roman"/>
          <w:b/>
          <w:bCs/>
          <w:sz w:val="24"/>
          <w:szCs w:val="24"/>
        </w:rPr>
      </w:pPr>
      <w:r>
        <w:rPr>
          <w:rFonts w:hint="eastAsia" w:ascii="Times New Roman" w:hAnsi="Times New Roman" w:cs="Times New Roman"/>
          <w:b/>
          <w:bCs/>
          <w:sz w:val="24"/>
          <w:szCs w:val="24"/>
        </w:rPr>
        <w:t>Ertongyongtang</w:t>
      </w:r>
    </w:p>
    <w:p>
      <w:pPr>
        <w:snapToGrid w:val="0"/>
        <w:spacing w:line="360" w:lineRule="auto"/>
        <w:jc w:val="center"/>
        <w:rPr>
          <w:rFonts w:ascii="Times New Roman" w:hAnsi="Times New Roman" w:cs="Times New Roman"/>
          <w:b/>
          <w:bCs/>
          <w:sz w:val="24"/>
          <w:szCs w:val="24"/>
        </w:rPr>
      </w:pPr>
    </w:p>
    <w:p>
      <w:pPr>
        <w:snapToGrid w:val="0"/>
        <w:spacing w:line="360" w:lineRule="auto"/>
        <w:ind w:firstLine="482" w:firstLineChars="200"/>
        <w:jc w:val="both"/>
        <w:rPr>
          <w:rFonts w:hint="eastAsia" w:ascii="Times New Roman" w:hAnsi="Times New Roman" w:cs="Times New Roman"/>
          <w:bCs/>
          <w:sz w:val="24"/>
          <w:szCs w:val="24"/>
        </w:rPr>
      </w:pPr>
      <w:r>
        <w:rPr>
          <w:rFonts w:hint="eastAsia" w:ascii="Times New Roman" w:hAnsi="Times New Roman" w:cs="Times New Roman"/>
          <w:b/>
          <w:bCs/>
          <w:sz w:val="24"/>
          <w:szCs w:val="24"/>
        </w:rPr>
        <w:t>【性状】</w:t>
      </w:r>
      <w:r>
        <w:rPr>
          <w:rFonts w:hint="eastAsia" w:ascii="Times New Roman" w:hAnsi="Times New Roman" w:cs="Times New Roman"/>
          <w:bCs/>
          <w:sz w:val="24"/>
          <w:szCs w:val="24"/>
        </w:rPr>
        <w:t>本品为无色结晶或白色结晶性的松散粉末。</w:t>
      </w:r>
    </w:p>
    <w:p>
      <w:pPr>
        <w:snapToGrid w:val="0"/>
        <w:spacing w:line="360" w:lineRule="auto"/>
        <w:ind w:firstLine="480" w:firstLineChars="200"/>
        <w:jc w:val="both"/>
        <w:rPr>
          <w:rFonts w:hint="eastAsia" w:ascii="Times New Roman" w:hAnsi="Times New Roman" w:cs="Times New Roman"/>
          <w:bCs/>
          <w:color w:val="C00000"/>
          <w:sz w:val="24"/>
          <w:szCs w:val="24"/>
        </w:rPr>
      </w:pPr>
      <w:r>
        <w:rPr>
          <w:rFonts w:hint="eastAsia" w:ascii="Times New Roman" w:hAnsi="Times New Roman" w:cs="Times New Roman"/>
          <w:bCs/>
          <w:sz w:val="24"/>
          <w:szCs w:val="24"/>
        </w:rPr>
        <w:t xml:space="preserve">比旋度 </w:t>
      </w:r>
      <w:r>
        <w:rPr>
          <w:rFonts w:ascii="Times New Roman" w:hAnsi="Times New Roman" w:cs="Times New Roman"/>
          <w:bCs/>
          <w:sz w:val="24"/>
          <w:szCs w:val="24"/>
        </w:rPr>
        <w:t xml:space="preserve"> </w:t>
      </w:r>
      <w:r>
        <w:rPr>
          <w:rFonts w:hint="eastAsia" w:ascii="Times New Roman" w:hAnsi="Times New Roman" w:cs="Times New Roman"/>
          <w:bCs/>
          <w:sz w:val="24"/>
          <w:szCs w:val="24"/>
        </w:rPr>
        <w:t>取本品，精密称定，加水溶解并定量稀释制成每1ml中约含</w:t>
      </w:r>
      <w:r>
        <w:rPr>
          <w:rFonts w:hint="eastAsia" w:ascii="Times New Roman" w:hAnsi="Times New Roman" w:cs="Times New Roman"/>
          <w:bCs/>
          <w:sz w:val="24"/>
          <w:szCs w:val="24"/>
          <w:highlight w:val="none"/>
        </w:rPr>
        <w:t>0.1g</w:t>
      </w:r>
      <w:r>
        <w:rPr>
          <w:rFonts w:hint="eastAsia" w:ascii="Times New Roman" w:hAnsi="Times New Roman" w:cs="Times New Roman"/>
          <w:bCs/>
          <w:sz w:val="24"/>
          <w:szCs w:val="24"/>
        </w:rPr>
        <w:t>的溶液，依法测定（中国药典2020年版四部通则 0621），比旋度为﹢66.3°至﹢67.0°。</w:t>
      </w:r>
    </w:p>
    <w:p>
      <w:pPr>
        <w:snapToGrid w:val="0"/>
        <w:spacing w:line="360" w:lineRule="auto"/>
        <w:ind w:firstLine="482" w:firstLineChars="200"/>
        <w:jc w:val="both"/>
        <w:rPr>
          <w:rFonts w:hint="eastAsia" w:ascii="Times New Roman" w:hAnsi="Times New Roman" w:cs="Times New Roman"/>
          <w:sz w:val="24"/>
          <w:szCs w:val="24"/>
        </w:rPr>
      </w:pPr>
      <w:r>
        <w:rPr>
          <w:rFonts w:hint="eastAsia" w:ascii="Times New Roman" w:hAnsi="Times New Roman" w:cs="Times New Roman"/>
          <w:b/>
          <w:bCs/>
          <w:sz w:val="24"/>
          <w:szCs w:val="24"/>
        </w:rPr>
        <w:t>【鉴别】</w:t>
      </w:r>
      <w:r>
        <w:rPr>
          <w:rFonts w:hint="eastAsia" w:ascii="Times New Roman" w:hAnsi="Times New Roman" w:cs="Times New Roman"/>
          <w:sz w:val="24"/>
          <w:szCs w:val="24"/>
        </w:rPr>
        <w:t>（1）取本品，加0.05mol/L硫酸溶液，煮沸后，用0.1mol/L氢氧化钠溶液中和，再加碱性酒石酸铜试液，加热即生成氧化亚铜的红色沉淀。</w:t>
      </w:r>
    </w:p>
    <w:p>
      <w:pPr>
        <w:snapToGrid w:val="0"/>
        <w:spacing w:line="360" w:lineRule="auto"/>
        <w:ind w:firstLine="480" w:firstLineChars="200"/>
        <w:jc w:val="both"/>
        <w:rPr>
          <w:rFonts w:hint="eastAsia" w:ascii="Times New Roman" w:hAnsi="Times New Roman" w:cs="Times New Roman"/>
          <w:bCs/>
          <w:sz w:val="24"/>
          <w:szCs w:val="24"/>
        </w:rPr>
      </w:pPr>
      <w:r>
        <w:rPr>
          <w:rFonts w:hint="eastAsia" w:ascii="Times New Roman" w:hAnsi="Times New Roman" w:cs="Times New Roman"/>
          <w:bCs/>
          <w:sz w:val="24"/>
          <w:szCs w:val="24"/>
        </w:rPr>
        <w:t>（2）本品的红外光吸收图谱应与蔗糖对照品的图谱一致（中国药典2020年版四部通则 0402）</w:t>
      </w:r>
      <w:r>
        <w:rPr>
          <w:rFonts w:hint="eastAsia" w:ascii="Times New Roman" w:hAnsi="Times New Roman" w:cs="Times New Roman"/>
          <w:sz w:val="24"/>
          <w:szCs w:val="24"/>
        </w:rPr>
        <w:t>。</w:t>
      </w:r>
    </w:p>
    <w:p>
      <w:pPr>
        <w:snapToGrid w:val="0"/>
        <w:spacing w:line="360" w:lineRule="auto"/>
        <w:ind w:firstLine="482" w:firstLineChars="200"/>
        <w:jc w:val="both"/>
        <w:rPr>
          <w:rFonts w:ascii="Times New Roman" w:hAnsi="Times New Roman" w:cs="Times New Roman"/>
          <w:bCs/>
          <w:sz w:val="24"/>
          <w:szCs w:val="24"/>
        </w:rPr>
      </w:pPr>
      <w:r>
        <w:rPr>
          <w:rFonts w:hint="eastAsia" w:ascii="Times New Roman" w:hAnsi="Times New Roman" w:cs="Times New Roman"/>
          <w:b/>
          <w:bCs/>
          <w:sz w:val="24"/>
          <w:szCs w:val="24"/>
        </w:rPr>
        <w:t>【检查】</w:t>
      </w:r>
    </w:p>
    <w:p>
      <w:pPr>
        <w:snapToGrid w:val="0"/>
        <w:spacing w:line="360" w:lineRule="auto"/>
        <w:ind w:firstLine="482" w:firstLineChars="200"/>
        <w:jc w:val="both"/>
        <w:rPr>
          <w:rFonts w:ascii="Times New Roman" w:hAnsi="Times New Roman" w:cs="Times New Roman"/>
          <w:bCs/>
          <w:sz w:val="24"/>
          <w:szCs w:val="24"/>
        </w:rPr>
      </w:pPr>
      <w:r>
        <w:rPr>
          <w:rFonts w:hint="eastAsia" w:ascii="Times New Roman" w:hAnsi="Times New Roman" w:cs="Times New Roman"/>
          <w:b/>
          <w:sz w:val="24"/>
          <w:szCs w:val="24"/>
        </w:rPr>
        <w:t xml:space="preserve">电导率  </w:t>
      </w:r>
      <w:r>
        <w:rPr>
          <w:rFonts w:hint="eastAsia" w:ascii="Times New Roman" w:hAnsi="Times New Roman" w:cs="Times New Roman"/>
          <w:bCs/>
          <w:sz w:val="24"/>
          <w:szCs w:val="24"/>
        </w:rPr>
        <w:t>准确称取本品31.3g，置100ml容量瓶中，用新沸放冷后的去离子水溶解并稀释至刻度，用电导率仪测定该溶液电导率，记录为C</w:t>
      </w:r>
      <w:r>
        <w:rPr>
          <w:rFonts w:hint="eastAsia" w:ascii="Times New Roman" w:hAnsi="Times New Roman" w:cs="Times New Roman"/>
          <w:bCs/>
          <w:sz w:val="24"/>
          <w:szCs w:val="24"/>
          <w:vertAlign w:val="subscript"/>
        </w:rPr>
        <w:t>1</w:t>
      </w:r>
      <w:r>
        <w:rPr>
          <w:rFonts w:hint="eastAsia" w:ascii="Times New Roman" w:hAnsi="Times New Roman" w:cs="Times New Roman"/>
          <w:bCs/>
          <w:sz w:val="24"/>
          <w:szCs w:val="24"/>
        </w:rPr>
        <w:t>，同时测定新沸放冷后的去离子水的电导率，记录为C</w:t>
      </w:r>
      <w:r>
        <w:rPr>
          <w:rFonts w:hint="eastAsia" w:ascii="Times New Roman" w:hAnsi="Times New Roman" w:cs="Times New Roman"/>
          <w:bCs/>
          <w:sz w:val="24"/>
          <w:szCs w:val="24"/>
          <w:vertAlign w:val="subscript"/>
        </w:rPr>
        <w:t>2</w:t>
      </w:r>
      <w:r>
        <w:rPr>
          <w:rFonts w:hint="eastAsia" w:ascii="Times New Roman" w:hAnsi="Times New Roman" w:cs="Times New Roman"/>
          <w:bCs/>
          <w:sz w:val="24"/>
          <w:szCs w:val="24"/>
        </w:rPr>
        <w:t>。采用下列公式计算电导率，20℃下电导率应不得过35</w:t>
      </w:r>
      <w:r>
        <w:rPr>
          <w:rFonts w:ascii="Times New Roman" w:hAnsi="Times New Roman" w:cs="Times New Roman"/>
          <w:bCs/>
          <w:sz w:val="24"/>
          <w:szCs w:val="24"/>
        </w:rPr>
        <w:t>μs·cm</w:t>
      </w:r>
      <w:r>
        <w:rPr>
          <w:rFonts w:ascii="Times New Roman" w:hAnsi="Times New Roman" w:cs="Times New Roman"/>
          <w:bCs/>
          <w:sz w:val="24"/>
          <w:szCs w:val="24"/>
          <w:vertAlign w:val="superscript"/>
        </w:rPr>
        <w:t>-1</w:t>
      </w:r>
      <w:r>
        <w:rPr>
          <w:rFonts w:hint="eastAsia" w:ascii="Times New Roman" w:hAnsi="Times New Roman" w:cs="Times New Roman"/>
          <w:bCs/>
          <w:sz w:val="24"/>
          <w:szCs w:val="24"/>
        </w:rPr>
        <w:t>。</w:t>
      </w:r>
    </w:p>
    <w:p>
      <w:pPr>
        <w:snapToGrid w:val="0"/>
        <w:spacing w:line="360" w:lineRule="auto"/>
        <w:ind w:firstLine="480" w:firstLineChars="200"/>
        <w:jc w:val="both"/>
        <w:rPr>
          <w:rFonts w:ascii="Times New Roman" w:hAnsi="Times New Roman" w:cs="Times New Roman"/>
          <w:bCs/>
          <w:sz w:val="24"/>
          <w:szCs w:val="24"/>
        </w:rPr>
      </w:pPr>
      <w:r>
        <w:rPr>
          <w:rFonts w:hint="eastAsia" w:ascii="Times New Roman" w:hAnsi="Times New Roman" w:cs="Times New Roman"/>
          <w:bCs/>
          <w:sz w:val="24"/>
          <w:szCs w:val="24"/>
        </w:rPr>
        <w:t>电导率= C</w:t>
      </w:r>
      <w:r>
        <w:rPr>
          <w:rFonts w:hint="eastAsia" w:ascii="Times New Roman" w:hAnsi="Times New Roman" w:cs="Times New Roman"/>
          <w:bCs/>
          <w:sz w:val="24"/>
          <w:szCs w:val="24"/>
          <w:vertAlign w:val="subscript"/>
        </w:rPr>
        <w:t>1</w:t>
      </w:r>
      <w:r>
        <w:rPr>
          <w:rFonts w:hint="eastAsia" w:ascii="Times New Roman" w:hAnsi="Times New Roman" w:cs="Times New Roman"/>
          <w:bCs/>
          <w:sz w:val="24"/>
          <w:szCs w:val="24"/>
        </w:rPr>
        <w:t>－（0.35×C</w:t>
      </w:r>
      <w:r>
        <w:rPr>
          <w:rFonts w:hint="eastAsia" w:ascii="Times New Roman" w:hAnsi="Times New Roman" w:cs="Times New Roman"/>
          <w:bCs/>
          <w:sz w:val="24"/>
          <w:szCs w:val="24"/>
          <w:vertAlign w:val="subscript"/>
        </w:rPr>
        <w:t>2</w:t>
      </w:r>
      <w:r>
        <w:rPr>
          <w:rFonts w:hint="eastAsia" w:ascii="Times New Roman" w:hAnsi="Times New Roman" w:cs="Times New Roman"/>
          <w:bCs/>
          <w:sz w:val="24"/>
          <w:szCs w:val="24"/>
        </w:rPr>
        <w:t>）</w:t>
      </w:r>
    </w:p>
    <w:p>
      <w:pPr>
        <w:snapToGrid w:val="0"/>
        <w:spacing w:line="360" w:lineRule="auto"/>
        <w:ind w:firstLine="482" w:firstLineChars="200"/>
        <w:jc w:val="both"/>
        <w:rPr>
          <w:rFonts w:hint="eastAsia" w:ascii="Times New Roman" w:hAnsi="Times New Roman" w:cs="Times New Roman"/>
          <w:bCs/>
          <w:color w:val="C00000"/>
          <w:sz w:val="24"/>
          <w:szCs w:val="24"/>
        </w:rPr>
      </w:pPr>
      <w:r>
        <w:rPr>
          <w:rFonts w:hint="eastAsia" w:ascii="Times New Roman" w:hAnsi="Times New Roman" w:cs="Times New Roman"/>
          <w:b/>
          <w:bCs/>
          <w:sz w:val="24"/>
          <w:szCs w:val="24"/>
        </w:rPr>
        <w:t xml:space="preserve">溶液的澄清度  </w:t>
      </w:r>
      <w:r>
        <w:rPr>
          <w:rFonts w:hint="eastAsia" w:ascii="Times New Roman" w:hAnsi="Times New Roman" w:cs="Times New Roman"/>
          <w:sz w:val="24"/>
          <w:szCs w:val="24"/>
        </w:rPr>
        <w:t>取本品适量，加水溶解并稀释制成</w:t>
      </w:r>
      <w:r>
        <w:rPr>
          <w:rFonts w:hint="eastAsia" w:ascii="Times New Roman" w:hAnsi="Times New Roman" w:cs="Times New Roman"/>
          <w:sz w:val="24"/>
          <w:szCs w:val="24"/>
          <w:highlight w:val="none"/>
        </w:rPr>
        <w:t>1ml中约含500mg</w:t>
      </w:r>
      <w:r>
        <w:rPr>
          <w:rFonts w:hint="eastAsia" w:ascii="Times New Roman" w:hAnsi="Times New Roman" w:cs="Times New Roman"/>
          <w:sz w:val="24"/>
          <w:szCs w:val="24"/>
        </w:rPr>
        <w:t>的溶液，依法检查（中国药典2020年版四部通则0902 第一法），溶液应澄清；如显浑浊，与1号浊度标准液</w:t>
      </w:r>
      <w:bookmarkStart w:id="0" w:name="_Hlk161351079"/>
      <w:r>
        <w:rPr>
          <w:rFonts w:hint="eastAsia" w:ascii="Times New Roman" w:hAnsi="Times New Roman" w:cs="Times New Roman"/>
          <w:sz w:val="24"/>
          <w:szCs w:val="24"/>
        </w:rPr>
        <w:t>（中国药典2020年版四部通则090</w:t>
      </w:r>
      <w:r>
        <w:rPr>
          <w:rFonts w:ascii="Times New Roman" w:hAnsi="Times New Roman" w:cs="Times New Roman"/>
          <w:sz w:val="24"/>
          <w:szCs w:val="24"/>
        </w:rPr>
        <w:t>1</w:t>
      </w:r>
      <w:r>
        <w:rPr>
          <w:rFonts w:hint="eastAsia" w:ascii="Times New Roman" w:hAnsi="Times New Roman" w:cs="Times New Roman"/>
          <w:sz w:val="24"/>
          <w:szCs w:val="24"/>
        </w:rPr>
        <w:t xml:space="preserve"> 第一法）</w:t>
      </w:r>
      <w:bookmarkEnd w:id="0"/>
      <w:r>
        <w:rPr>
          <w:rFonts w:hint="eastAsia" w:ascii="Times New Roman" w:hAnsi="Times New Roman" w:cs="Times New Roman"/>
          <w:sz w:val="24"/>
          <w:szCs w:val="24"/>
        </w:rPr>
        <w:t>比较，不得更浓</w:t>
      </w:r>
      <w:r>
        <w:rPr>
          <w:rFonts w:hint="eastAsia" w:ascii="Times New Roman" w:hAnsi="Times New Roman" w:cs="Times New Roman"/>
          <w:bCs/>
          <w:sz w:val="24"/>
          <w:szCs w:val="24"/>
        </w:rPr>
        <w:t>。</w:t>
      </w:r>
    </w:p>
    <w:p>
      <w:pPr>
        <w:snapToGrid w:val="0"/>
        <w:spacing w:line="360" w:lineRule="auto"/>
        <w:ind w:firstLine="482" w:firstLineChars="200"/>
        <w:jc w:val="both"/>
        <w:rPr>
          <w:rFonts w:hint="eastAsia" w:ascii="Times New Roman" w:hAnsi="Times New Roman" w:cs="Times New Roman"/>
          <w:sz w:val="24"/>
          <w:szCs w:val="24"/>
        </w:rPr>
      </w:pPr>
      <w:r>
        <w:rPr>
          <w:rFonts w:hint="eastAsia" w:ascii="Times New Roman" w:hAnsi="Times New Roman" w:cs="Times New Roman"/>
          <w:b/>
          <w:bCs/>
          <w:sz w:val="24"/>
          <w:szCs w:val="24"/>
        </w:rPr>
        <w:t>亚硫酸盐（以二氧化硫计）</w:t>
      </w:r>
      <w:r>
        <w:rPr>
          <w:rFonts w:hint="eastAsia" w:ascii="Times New Roman" w:hAnsi="Times New Roman" w:cs="Times New Roman"/>
          <w:sz w:val="24"/>
          <w:szCs w:val="24"/>
        </w:rPr>
        <w:t xml:space="preserve"> 照离子色谱法（中国药典2020年版通则0513）测定。</w:t>
      </w:r>
    </w:p>
    <w:p>
      <w:pPr>
        <w:spacing w:line="360" w:lineRule="auto"/>
        <w:ind w:firstLine="480" w:firstLineChars="200"/>
        <w:rPr>
          <w:rFonts w:cs="Times New Roman"/>
          <w:sz w:val="24"/>
          <w:szCs w:val="24"/>
        </w:rPr>
      </w:pPr>
      <w:r>
        <w:rPr>
          <w:rFonts w:hAnsi="宋体" w:cs="Times New Roman"/>
          <w:sz w:val="24"/>
          <w:szCs w:val="24"/>
        </w:rPr>
        <w:t>供试品溶液</w:t>
      </w:r>
      <w:r>
        <w:rPr>
          <w:rFonts w:cs="Times New Roman"/>
          <w:sz w:val="24"/>
          <w:szCs w:val="24"/>
        </w:rPr>
        <w:t xml:space="preserve">  </w:t>
      </w:r>
      <w:r>
        <w:rPr>
          <w:rFonts w:hint="eastAsia" w:ascii="Times New Roman" w:hAnsi="Times New Roman" w:cs="Times New Roman"/>
          <w:sz w:val="24"/>
          <w:szCs w:val="24"/>
        </w:rPr>
        <w:t>取样品1g，精密称定，用1%的甲醛溶液溶解并定容至5ml。</w:t>
      </w:r>
    </w:p>
    <w:p>
      <w:pPr>
        <w:spacing w:line="360" w:lineRule="auto"/>
        <w:ind w:firstLine="480" w:firstLineChars="200"/>
        <w:rPr>
          <w:rFonts w:hAnsi="宋体" w:cs="Times New Roman"/>
          <w:color w:val="C00000"/>
          <w:sz w:val="24"/>
          <w:szCs w:val="24"/>
        </w:rPr>
      </w:pPr>
      <w:r>
        <w:rPr>
          <w:rFonts w:hAnsi="宋体" w:cs="Times New Roman"/>
          <w:sz w:val="24"/>
          <w:szCs w:val="24"/>
        </w:rPr>
        <w:t>对照</w:t>
      </w:r>
      <w:r>
        <w:rPr>
          <w:rFonts w:hint="eastAsia" w:hAnsi="宋体" w:cs="Times New Roman"/>
          <w:sz w:val="24"/>
          <w:szCs w:val="24"/>
        </w:rPr>
        <w:t>品</w:t>
      </w:r>
      <w:r>
        <w:rPr>
          <w:rFonts w:hAnsi="宋体" w:cs="Times New Roman"/>
          <w:sz w:val="24"/>
          <w:szCs w:val="24"/>
        </w:rPr>
        <w:t>溶液</w:t>
      </w:r>
      <w:r>
        <w:rPr>
          <w:rFonts w:cs="Times New Roman"/>
          <w:sz w:val="24"/>
          <w:szCs w:val="24"/>
        </w:rPr>
        <w:t xml:space="preserve">  </w:t>
      </w:r>
      <w:r>
        <w:rPr>
          <w:rFonts w:hint="eastAsia" w:ascii="Times New Roman" w:hAnsi="Times New Roman" w:cs="Times New Roman"/>
          <w:sz w:val="24"/>
          <w:szCs w:val="24"/>
        </w:rPr>
        <w:t>精密</w:t>
      </w:r>
      <w:r>
        <w:rPr>
          <w:rFonts w:hint="eastAsia" w:ascii="Times New Roman" w:hAnsi="Times New Roman" w:cs="Times New Roman"/>
          <w:color w:val="auto"/>
          <w:sz w:val="24"/>
          <w:szCs w:val="24"/>
          <w:highlight w:val="none"/>
        </w:rPr>
        <w:t>称取</w:t>
      </w:r>
      <w:r>
        <w:rPr>
          <w:rFonts w:hint="eastAsia" w:ascii="Times New Roman" w:hAnsi="Times New Roman" w:cs="Times New Roman"/>
          <w:sz w:val="24"/>
          <w:szCs w:val="24"/>
        </w:rPr>
        <w:t>无水亚硫酸钠</w:t>
      </w:r>
      <w:r>
        <w:rPr>
          <w:rFonts w:hint="eastAsia" w:ascii="Times New Roman" w:hAnsi="Times New Roman" w:cs="Times New Roman"/>
          <w:sz w:val="24"/>
          <w:szCs w:val="24"/>
          <w:highlight w:val="none"/>
        </w:rPr>
        <w:t>10mg</w:t>
      </w:r>
      <w:r>
        <w:rPr>
          <w:rFonts w:hint="eastAsia" w:ascii="Times New Roman" w:hAnsi="Times New Roman" w:cs="Times New Roman"/>
          <w:sz w:val="24"/>
          <w:szCs w:val="24"/>
        </w:rPr>
        <w:t>，置100ml量瓶中，加1%甲醛溶液溶解并稀释至刻度，摇匀，精密量取</w:t>
      </w:r>
      <w:r>
        <w:rPr>
          <w:rFonts w:hint="eastAsia" w:cs="Times New Roman"/>
          <w:sz w:val="24"/>
          <w:szCs w:val="24"/>
        </w:rPr>
        <w:t>2</w:t>
      </w:r>
      <w:r>
        <w:rPr>
          <w:rFonts w:cs="Times New Roman"/>
          <w:sz w:val="24"/>
          <w:szCs w:val="24"/>
        </w:rPr>
        <w:t>ml</w:t>
      </w:r>
      <w:r>
        <w:rPr>
          <w:rFonts w:hAnsi="宋体" w:cs="Times New Roman"/>
          <w:sz w:val="24"/>
          <w:szCs w:val="24"/>
        </w:rPr>
        <w:t>，置</w:t>
      </w:r>
      <w:r>
        <w:rPr>
          <w:rFonts w:hint="eastAsia" w:cs="Times New Roman"/>
          <w:sz w:val="24"/>
          <w:szCs w:val="24"/>
        </w:rPr>
        <w:t>1</w:t>
      </w:r>
      <w:r>
        <w:rPr>
          <w:rFonts w:cs="Times New Roman"/>
          <w:sz w:val="24"/>
          <w:szCs w:val="24"/>
        </w:rPr>
        <w:t>0</w:t>
      </w:r>
      <w:r>
        <w:rPr>
          <w:rFonts w:hint="eastAsia" w:cs="Times New Roman"/>
          <w:sz w:val="24"/>
          <w:szCs w:val="24"/>
        </w:rPr>
        <w:t>0</w:t>
      </w:r>
      <w:r>
        <w:rPr>
          <w:rFonts w:cs="Times New Roman"/>
          <w:sz w:val="24"/>
          <w:szCs w:val="24"/>
        </w:rPr>
        <w:t>ml</w:t>
      </w:r>
      <w:r>
        <w:rPr>
          <w:rFonts w:hAnsi="宋体" w:cs="Times New Roman"/>
          <w:sz w:val="24"/>
          <w:szCs w:val="24"/>
        </w:rPr>
        <w:t>量瓶中，加</w:t>
      </w:r>
      <w:r>
        <w:rPr>
          <w:rFonts w:hint="eastAsia" w:ascii="Times New Roman" w:hAnsi="Times New Roman" w:cs="Times New Roman"/>
          <w:sz w:val="24"/>
          <w:szCs w:val="24"/>
        </w:rPr>
        <w:t>1%甲醛溶液</w:t>
      </w:r>
      <w:r>
        <w:rPr>
          <w:rFonts w:hAnsi="宋体" w:cs="Times New Roman"/>
          <w:sz w:val="24"/>
          <w:szCs w:val="24"/>
        </w:rPr>
        <w:t>稀释至刻度，摇匀，</w:t>
      </w:r>
      <w:r>
        <w:rPr>
          <w:rFonts w:hint="eastAsia" w:hAnsi="宋体" w:cs="Times New Roman"/>
          <w:sz w:val="24"/>
          <w:szCs w:val="24"/>
        </w:rPr>
        <w:t>即得</w:t>
      </w:r>
      <w:r>
        <w:rPr>
          <w:rFonts w:hAnsi="宋体" w:cs="Times New Roman"/>
          <w:sz w:val="24"/>
          <w:szCs w:val="24"/>
        </w:rPr>
        <w:t>。</w:t>
      </w:r>
    </w:p>
    <w:p>
      <w:pPr>
        <w:spacing w:line="360" w:lineRule="auto"/>
        <w:ind w:firstLine="480" w:firstLineChars="200"/>
        <w:rPr>
          <w:rFonts w:cs="Times New Roman"/>
          <w:sz w:val="24"/>
          <w:szCs w:val="24"/>
        </w:rPr>
      </w:pPr>
      <w:r>
        <w:rPr>
          <w:rFonts w:hAnsi="宋体" w:cs="Times New Roman"/>
          <w:sz w:val="24"/>
          <w:szCs w:val="24"/>
        </w:rPr>
        <w:t>系统适用性溶液</w:t>
      </w:r>
      <w:r>
        <w:rPr>
          <w:rFonts w:cs="Times New Roman"/>
          <w:sz w:val="24"/>
          <w:szCs w:val="24"/>
        </w:rPr>
        <w:t xml:space="preserve">  </w:t>
      </w:r>
      <w:r>
        <w:rPr>
          <w:rFonts w:hint="eastAsia" w:ascii="Times New Roman" w:hAnsi="Times New Roman" w:cs="Times New Roman"/>
          <w:sz w:val="24"/>
          <w:szCs w:val="24"/>
        </w:rPr>
        <w:t>精密</w:t>
      </w:r>
      <w:r>
        <w:rPr>
          <w:rFonts w:hint="eastAsia" w:ascii="Times New Roman" w:hAnsi="Times New Roman" w:cs="Times New Roman"/>
          <w:color w:val="FF0000"/>
          <w:sz w:val="24"/>
          <w:szCs w:val="24"/>
        </w:rPr>
        <w:t>称</w:t>
      </w:r>
      <w:r>
        <w:rPr>
          <w:rFonts w:hint="eastAsia" w:ascii="Times New Roman" w:hAnsi="Times New Roman" w:cs="Times New Roman"/>
          <w:sz w:val="24"/>
          <w:szCs w:val="24"/>
        </w:rPr>
        <w:t>取无水亚硫酸钠10mg，置10ml量瓶中，加1%的甲醛溶液溶解并稀释至刻度，摇匀，作为亚硫酸钠储备液；精密</w:t>
      </w:r>
      <w:r>
        <w:rPr>
          <w:rFonts w:hint="eastAsia" w:ascii="Times New Roman" w:hAnsi="Times New Roman" w:cs="Times New Roman"/>
          <w:color w:val="FF0000"/>
          <w:sz w:val="24"/>
          <w:szCs w:val="24"/>
        </w:rPr>
        <w:t>称</w:t>
      </w:r>
      <w:r>
        <w:rPr>
          <w:rFonts w:hint="eastAsia" w:ascii="Times New Roman" w:hAnsi="Times New Roman" w:cs="Times New Roman"/>
          <w:sz w:val="24"/>
          <w:szCs w:val="24"/>
        </w:rPr>
        <w:t>取无水硫酸钠10mg，置10ml量瓶中，加溶剂溶解并稀释至刻度，摇匀作为硫酸钠储备液；分别精密量取亚硫酸钠储备液和硫酸钠储备液各0.2ml，置同一个100ml量瓶中，加1%甲醛溶液稀释至刻度，摇匀即得。</w:t>
      </w:r>
    </w:p>
    <w:p>
      <w:pPr>
        <w:spacing w:line="360" w:lineRule="auto"/>
        <w:ind w:firstLine="480" w:firstLineChars="200"/>
        <w:rPr>
          <w:rFonts w:cs="Times New Roman"/>
          <w:sz w:val="24"/>
          <w:szCs w:val="24"/>
        </w:rPr>
      </w:pPr>
      <w:r>
        <w:rPr>
          <w:rFonts w:hAnsi="宋体" w:cs="Times New Roman"/>
          <w:sz w:val="24"/>
          <w:szCs w:val="24"/>
        </w:rPr>
        <w:t>色谱条件</w:t>
      </w:r>
      <w:r>
        <w:rPr>
          <w:rFonts w:cs="Times New Roman"/>
          <w:sz w:val="24"/>
          <w:szCs w:val="24"/>
        </w:rPr>
        <w:t xml:space="preserve">  </w:t>
      </w:r>
      <w:r>
        <w:rPr>
          <w:rFonts w:hint="eastAsia" w:hAnsi="宋体" w:cs="Times New Roman"/>
          <w:sz w:val="24"/>
          <w:szCs w:val="24"/>
        </w:rPr>
        <w:t>采用IonPac AS11-HC阴离子分析柱并配加IonPac AG11-HC保护柱</w:t>
      </w:r>
      <w:r>
        <w:rPr>
          <w:rFonts w:hAnsi="宋体" w:cs="Times New Roman"/>
          <w:sz w:val="24"/>
          <w:szCs w:val="24"/>
        </w:rPr>
        <w:t>；</w:t>
      </w:r>
      <w:r>
        <w:rPr>
          <w:rFonts w:hint="eastAsia" w:ascii="宋体" w:hAnsi="宋体" w:cs="宋体"/>
          <w:sz w:val="24"/>
          <w:szCs w:val="28"/>
        </w:rPr>
        <w:t>柱温为25℃；</w:t>
      </w:r>
      <w:r>
        <w:rPr>
          <w:rFonts w:hAnsi="宋体" w:cs="Times New Roman"/>
          <w:sz w:val="24"/>
          <w:szCs w:val="24"/>
        </w:rPr>
        <w:t>以</w:t>
      </w:r>
      <w:r>
        <w:rPr>
          <w:rFonts w:hint="eastAsia" w:ascii="宋体" w:hAnsi="宋体" w:cs="宋体"/>
          <w:sz w:val="24"/>
          <w:szCs w:val="28"/>
        </w:rPr>
        <w:t>8.0mmol/L的NaOH作为淋洗液,流速1.0mL/min；检测器为电导检测器，检测器温度30℃，抑制器：自动再生抑制模式，抑制电流20mA；进样量：25</w:t>
      </w:r>
      <w:r>
        <w:rPr>
          <w:rFonts w:hint="default" w:ascii="Times New Roman" w:hAnsi="Times New Roman" w:cs="Times New Roman"/>
          <w:sz w:val="24"/>
          <w:szCs w:val="28"/>
        </w:rPr>
        <w:t>μ</w:t>
      </w:r>
      <w:r>
        <w:rPr>
          <w:rFonts w:ascii="Times New Roman" w:hAnsi="Times New Roman" w:cs="Times New Roman"/>
          <w:sz w:val="24"/>
          <w:szCs w:val="28"/>
        </w:rPr>
        <w:t>l</w:t>
      </w:r>
      <w:r>
        <w:rPr>
          <w:rFonts w:hint="eastAsia" w:ascii="宋体" w:hAnsi="宋体" w:cs="宋体"/>
          <w:sz w:val="24"/>
          <w:szCs w:val="28"/>
        </w:rPr>
        <w:t>。</w:t>
      </w:r>
    </w:p>
    <w:p>
      <w:pPr>
        <w:widowControl/>
        <w:spacing w:line="360" w:lineRule="auto"/>
        <w:ind w:firstLine="480" w:firstLineChars="200"/>
        <w:jc w:val="both"/>
        <w:rPr>
          <w:rFonts w:cs="Times New Roman"/>
          <w:sz w:val="24"/>
          <w:szCs w:val="24"/>
        </w:rPr>
      </w:pPr>
      <w:r>
        <w:rPr>
          <w:rFonts w:hAnsi="宋体" w:cs="Times New Roman"/>
          <w:sz w:val="24"/>
          <w:szCs w:val="24"/>
        </w:rPr>
        <w:t>系统适用性要求</w:t>
      </w:r>
      <w:r>
        <w:rPr>
          <w:rFonts w:cs="Times New Roman"/>
          <w:sz w:val="24"/>
          <w:szCs w:val="24"/>
        </w:rPr>
        <w:t xml:space="preserve">  </w:t>
      </w:r>
      <w:r>
        <w:rPr>
          <w:rFonts w:hAnsi="宋体" w:cs="Times New Roman"/>
          <w:sz w:val="24"/>
          <w:szCs w:val="24"/>
        </w:rPr>
        <w:t>系统适用性溶液色谱图中，</w:t>
      </w:r>
      <w:r>
        <w:rPr>
          <w:rFonts w:hint="eastAsia" w:hAnsi="宋体" w:cs="Times New Roman"/>
          <w:sz w:val="24"/>
          <w:szCs w:val="24"/>
        </w:rPr>
        <w:t>亚硫酸根峰</w:t>
      </w:r>
      <w:r>
        <w:rPr>
          <w:rFonts w:hAnsi="宋体" w:cs="Times New Roman"/>
          <w:sz w:val="24"/>
          <w:szCs w:val="24"/>
        </w:rPr>
        <w:t>与</w:t>
      </w:r>
      <w:r>
        <w:rPr>
          <w:rFonts w:hint="eastAsia" w:hAnsi="宋体" w:cs="Times New Roman"/>
          <w:sz w:val="24"/>
          <w:szCs w:val="24"/>
        </w:rPr>
        <w:t>硫酸根</w:t>
      </w:r>
      <w:r>
        <w:rPr>
          <w:rFonts w:hAnsi="宋体" w:cs="Times New Roman"/>
          <w:sz w:val="24"/>
          <w:szCs w:val="24"/>
        </w:rPr>
        <w:t>峰之间的分离度应</w:t>
      </w:r>
      <w:r>
        <w:rPr>
          <w:rFonts w:hint="eastAsia" w:hAnsi="宋体" w:cs="Times New Roman"/>
          <w:sz w:val="24"/>
          <w:szCs w:val="24"/>
        </w:rPr>
        <w:t>符合要求</w:t>
      </w:r>
      <w:r>
        <w:rPr>
          <w:rFonts w:hAnsi="宋体" w:cs="Times New Roman"/>
          <w:sz w:val="24"/>
          <w:szCs w:val="24"/>
        </w:rPr>
        <w:t>。</w:t>
      </w:r>
    </w:p>
    <w:p>
      <w:pPr>
        <w:spacing w:line="360" w:lineRule="auto"/>
        <w:ind w:firstLine="480" w:firstLineChars="200"/>
        <w:rPr>
          <w:rFonts w:cs="Times New Roman"/>
          <w:sz w:val="24"/>
          <w:szCs w:val="24"/>
        </w:rPr>
      </w:pPr>
      <w:r>
        <w:rPr>
          <w:rFonts w:hAnsi="宋体" w:cs="Times New Roman"/>
          <w:sz w:val="24"/>
          <w:szCs w:val="24"/>
        </w:rPr>
        <w:t>测定法</w:t>
      </w:r>
      <w:r>
        <w:rPr>
          <w:rFonts w:cs="Times New Roman"/>
          <w:sz w:val="24"/>
          <w:szCs w:val="24"/>
        </w:rPr>
        <w:t xml:space="preserve">  </w:t>
      </w:r>
      <w:r>
        <w:rPr>
          <w:rFonts w:hAnsi="宋体" w:cs="Times New Roman"/>
          <w:sz w:val="24"/>
          <w:szCs w:val="24"/>
        </w:rPr>
        <w:t>精密量取系统适用性溶液、供试品溶液、对照溶液各</w:t>
      </w:r>
      <w:r>
        <w:rPr>
          <w:rFonts w:hint="eastAsia" w:cs="Times New Roman"/>
          <w:sz w:val="24"/>
          <w:szCs w:val="24"/>
        </w:rPr>
        <w:t>25</w:t>
      </w:r>
      <w:r>
        <w:rPr>
          <w:rFonts w:ascii="Times New Roman" w:hAnsi="Times New Roman" w:cs="Times New Roman"/>
          <w:sz w:val="24"/>
          <w:szCs w:val="24"/>
        </w:rPr>
        <w:t>µl</w:t>
      </w:r>
      <w:r>
        <w:rPr>
          <w:rFonts w:hAnsi="宋体" w:cs="Times New Roman"/>
          <w:sz w:val="24"/>
          <w:szCs w:val="24"/>
        </w:rPr>
        <w:t>，分别注入液相色谱仪。</w:t>
      </w:r>
    </w:p>
    <w:p>
      <w:pPr>
        <w:snapToGrid w:val="0"/>
        <w:spacing w:line="360" w:lineRule="auto"/>
        <w:ind w:firstLine="480" w:firstLineChars="200"/>
        <w:jc w:val="both"/>
        <w:rPr>
          <w:rFonts w:hint="eastAsia" w:cs="Times New Roman"/>
          <w:sz w:val="24"/>
          <w:szCs w:val="24"/>
        </w:rPr>
      </w:pPr>
      <w:r>
        <w:rPr>
          <w:rFonts w:hAnsi="宋体" w:cs="Times New Roman"/>
          <w:sz w:val="24"/>
          <w:szCs w:val="24"/>
        </w:rPr>
        <w:t>限度</w:t>
      </w:r>
      <w:r>
        <w:rPr>
          <w:rFonts w:cs="Times New Roman"/>
          <w:sz w:val="24"/>
          <w:szCs w:val="24"/>
        </w:rPr>
        <w:t xml:space="preserve">  </w:t>
      </w:r>
      <w:r>
        <w:rPr>
          <w:rFonts w:hint="eastAsia" w:cs="Times New Roman"/>
          <w:sz w:val="24"/>
          <w:szCs w:val="24"/>
        </w:rPr>
        <w:t>按外标法以峰面积计算，亚硫酸盐（以二氧化硫计）不得过</w:t>
      </w:r>
      <w:r>
        <w:rPr>
          <w:rFonts w:cs="Times New Roman"/>
          <w:sz w:val="24"/>
          <w:szCs w:val="24"/>
          <w:highlight w:val="none"/>
        </w:rPr>
        <w:t>0.0005%</w:t>
      </w:r>
      <w:r>
        <w:rPr>
          <w:rFonts w:hint="eastAsia" w:cs="Times New Roman"/>
          <w:sz w:val="24"/>
          <w:szCs w:val="24"/>
        </w:rPr>
        <w:t>。</w:t>
      </w:r>
    </w:p>
    <w:p>
      <w:pPr>
        <w:snapToGrid w:val="0"/>
        <w:spacing w:line="360" w:lineRule="auto"/>
        <w:ind w:firstLine="482" w:firstLineChars="200"/>
        <w:jc w:val="both"/>
        <w:rPr>
          <w:rFonts w:ascii="Times New Roman" w:hAnsi="Times New Roman" w:cs="Times New Roman"/>
          <w:bCs/>
          <w:iCs/>
          <w:sz w:val="24"/>
          <w:szCs w:val="24"/>
        </w:rPr>
      </w:pPr>
      <w:r>
        <w:rPr>
          <w:rFonts w:hint="eastAsia" w:ascii="Times New Roman" w:hAnsi="Times New Roman" w:cs="Times New Roman"/>
          <w:b/>
          <w:bCs/>
          <w:iCs/>
          <w:sz w:val="24"/>
          <w:szCs w:val="24"/>
        </w:rPr>
        <w:t xml:space="preserve">干燥失重 </w:t>
      </w:r>
      <w:r>
        <w:rPr>
          <w:rFonts w:hint="eastAsia" w:ascii="Times New Roman" w:hAnsi="Times New Roman" w:cs="Times New Roman"/>
          <w:bCs/>
          <w:iCs/>
          <w:sz w:val="24"/>
          <w:szCs w:val="24"/>
        </w:rPr>
        <w:t>取本品2.0g，在105℃下干燥3小时，干燥失重不得过0.1%（中国药典2020年版四部通则0831）。</w:t>
      </w:r>
    </w:p>
    <w:p>
      <w:pPr>
        <w:snapToGrid w:val="0"/>
        <w:spacing w:line="360" w:lineRule="auto"/>
        <w:ind w:firstLine="482" w:firstLineChars="200"/>
        <w:jc w:val="both"/>
        <w:rPr>
          <w:rFonts w:ascii="Times New Roman" w:hAnsi="Times New Roman" w:cs="Times New Roman"/>
          <w:bCs/>
          <w:sz w:val="24"/>
          <w:szCs w:val="24"/>
        </w:rPr>
      </w:pPr>
      <w:r>
        <w:rPr>
          <w:rFonts w:hint="eastAsia" w:ascii="Times New Roman" w:hAnsi="Times New Roman" w:cs="Times New Roman"/>
          <w:b/>
          <w:bCs/>
          <w:sz w:val="24"/>
          <w:szCs w:val="24"/>
        </w:rPr>
        <w:t xml:space="preserve">炽灼残渣 </w:t>
      </w:r>
      <w:r>
        <w:rPr>
          <w:rFonts w:hint="eastAsia" w:ascii="Times New Roman" w:hAnsi="Times New Roman" w:cs="Times New Roman"/>
          <w:bCs/>
          <w:sz w:val="24"/>
          <w:szCs w:val="24"/>
        </w:rPr>
        <w:t>取本品2.0g，依法检查（中国药典2020年版四部通则0841），遗留残渣不得过0.1%。</w:t>
      </w:r>
    </w:p>
    <w:p>
      <w:pPr>
        <w:snapToGrid w:val="0"/>
        <w:spacing w:line="360" w:lineRule="auto"/>
        <w:ind w:firstLine="482" w:firstLineChars="200"/>
        <w:jc w:val="both"/>
        <w:rPr>
          <w:rFonts w:ascii="Times New Roman" w:hAnsi="Times New Roman" w:cs="Times New Roman"/>
          <w:bCs/>
          <w:sz w:val="24"/>
          <w:szCs w:val="24"/>
        </w:rPr>
      </w:pPr>
      <w:r>
        <w:rPr>
          <w:rFonts w:hint="eastAsia" w:ascii="Times New Roman" w:hAnsi="Times New Roman" w:cs="Times New Roman"/>
          <w:b/>
          <w:bCs/>
          <w:sz w:val="24"/>
          <w:szCs w:val="24"/>
        </w:rPr>
        <w:t xml:space="preserve">重金属 </w:t>
      </w:r>
      <w:r>
        <w:rPr>
          <w:rFonts w:hint="eastAsia" w:ascii="Times New Roman" w:hAnsi="Times New Roman" w:cs="Times New Roman"/>
          <w:bCs/>
          <w:sz w:val="24"/>
          <w:szCs w:val="24"/>
        </w:rPr>
        <w:t>取炽灼残渣项下遗留的残渣，依法检查（中国药典2020年版四部通则0821第二法），含重金属不得过百万分之一。</w:t>
      </w:r>
    </w:p>
    <w:p>
      <w:pPr>
        <w:snapToGrid w:val="0"/>
        <w:spacing w:line="360" w:lineRule="auto"/>
        <w:ind w:firstLine="482" w:firstLineChars="200"/>
        <w:jc w:val="both"/>
        <w:rPr>
          <w:rFonts w:ascii="Times New Roman" w:hAnsi="Times New Roman" w:cs="Times New Roman"/>
          <w:b/>
          <w:bCs/>
          <w:sz w:val="24"/>
          <w:szCs w:val="24"/>
        </w:rPr>
      </w:pPr>
      <w:r>
        <w:rPr>
          <w:rFonts w:hint="eastAsia" w:ascii="Times New Roman" w:hAnsi="Times New Roman" w:cs="Times New Roman"/>
          <w:b/>
          <w:bCs/>
          <w:sz w:val="24"/>
          <w:szCs w:val="24"/>
        </w:rPr>
        <w:t xml:space="preserve">【类别】 </w:t>
      </w:r>
      <w:r>
        <w:rPr>
          <w:rFonts w:hint="eastAsia" w:ascii="Times New Roman" w:hAnsi="Times New Roman" w:cs="Times New Roman"/>
          <w:bCs/>
          <w:sz w:val="24"/>
          <w:szCs w:val="24"/>
        </w:rPr>
        <w:t>药用辅料，可用于儿童用药等特定领域的矫味剂、黏合剂等。</w:t>
      </w:r>
    </w:p>
    <w:p>
      <w:pPr>
        <w:snapToGrid w:val="0"/>
        <w:spacing w:line="360" w:lineRule="auto"/>
        <w:ind w:firstLine="482" w:firstLineChars="200"/>
        <w:jc w:val="both"/>
        <w:rPr>
          <w:rFonts w:ascii="Times New Roman" w:hAnsi="Times New Roman" w:cs="Times New Roman"/>
          <w:b/>
          <w:bCs/>
          <w:sz w:val="24"/>
          <w:szCs w:val="24"/>
        </w:rPr>
      </w:pPr>
      <w:r>
        <w:rPr>
          <w:rFonts w:hint="eastAsia" w:ascii="Times New Roman" w:hAnsi="Times New Roman" w:cs="Times New Roman"/>
          <w:b/>
          <w:bCs/>
          <w:sz w:val="24"/>
          <w:szCs w:val="24"/>
        </w:rPr>
        <w:t>【贮藏】</w:t>
      </w:r>
      <w:r>
        <w:rPr>
          <w:rFonts w:hint="eastAsia" w:ascii="Times New Roman" w:hAnsi="Times New Roman" w:cs="Times New Roman"/>
          <w:bCs/>
          <w:sz w:val="24"/>
          <w:szCs w:val="24"/>
        </w:rPr>
        <w:t xml:space="preserve"> 密封、避光，在干燥处保存。</w:t>
      </w:r>
      <w:r>
        <w:rPr>
          <w:rFonts w:hint="eastAsia" w:ascii="Times New Roman" w:hAnsi="Times New Roman" w:cs="Times New Roman"/>
          <w:b/>
          <w:bCs/>
          <w:sz w:val="24"/>
          <w:szCs w:val="24"/>
        </w:rPr>
        <w:t xml:space="preserve"> </w:t>
      </w:r>
    </w:p>
    <w:p>
      <w:pPr>
        <w:snapToGrid w:val="0"/>
        <w:spacing w:line="360" w:lineRule="auto"/>
        <w:ind w:firstLine="482" w:firstLineChars="200"/>
        <w:jc w:val="both"/>
        <w:rPr>
          <w:rFonts w:ascii="Times New Roman" w:hAnsi="Times New Roman" w:cs="Times New Roman"/>
          <w:b/>
          <w:bCs/>
          <w:sz w:val="24"/>
          <w:szCs w:val="24"/>
        </w:rPr>
      </w:pPr>
      <w:r>
        <w:rPr>
          <w:rFonts w:ascii="Times New Roman" w:hAnsi="Times New Roman" w:cs="Times New Roman"/>
          <w:b/>
          <w:bCs/>
          <w:sz w:val="24"/>
          <w:szCs w:val="24"/>
        </w:rPr>
        <w:br w:type="page"/>
      </w:r>
    </w:p>
    <w:p>
      <w:pPr>
        <w:widowControl/>
        <w:jc w:val="center"/>
        <w:outlineLvl w:val="0"/>
        <w:rPr>
          <w:rFonts w:ascii="Times New Roman" w:hAnsi="Times New Roman" w:cs="Times New Roman"/>
          <w:b/>
          <w:bCs/>
          <w:sz w:val="32"/>
          <w:szCs w:val="32"/>
        </w:rPr>
      </w:pPr>
      <w:r>
        <w:rPr>
          <w:rFonts w:hint="eastAsia" w:ascii="Times New Roman" w:hAnsi="Times New Roman" w:cs="Times New Roman"/>
          <w:b/>
          <w:bCs/>
          <w:sz w:val="32"/>
          <w:szCs w:val="32"/>
        </w:rPr>
        <w:t>儿童用糖质量标准起草说明</w:t>
      </w:r>
    </w:p>
    <w:p>
      <w:pPr>
        <w:widowControl/>
        <w:jc w:val="center"/>
        <w:rPr>
          <w:rFonts w:hint="eastAsia" w:ascii="Times New Roman" w:hAnsi="Times New Roman" w:cs="Times New Roman"/>
          <w:b/>
          <w:bCs/>
          <w:sz w:val="32"/>
          <w:szCs w:val="32"/>
        </w:rPr>
      </w:pPr>
    </w:p>
    <w:p>
      <w:pPr>
        <w:snapToGrid w:val="0"/>
        <w:spacing w:line="360" w:lineRule="auto"/>
        <w:ind w:firstLine="482" w:firstLineChars="200"/>
        <w:jc w:val="left"/>
        <w:outlineLvl w:val="1"/>
        <w:rPr>
          <w:rFonts w:ascii="Times New Roman" w:hAnsi="Times New Roman" w:cs="Times New Roman"/>
          <w:b/>
          <w:bCs/>
          <w:sz w:val="24"/>
          <w:szCs w:val="24"/>
        </w:rPr>
      </w:pPr>
      <w:r>
        <w:rPr>
          <w:rFonts w:hint="eastAsia" w:ascii="Times New Roman" w:hAnsi="Times New Roman" w:cs="Times New Roman"/>
          <w:b/>
          <w:bCs/>
          <w:sz w:val="24"/>
          <w:szCs w:val="24"/>
        </w:rPr>
        <w:t xml:space="preserve">1.概况 </w:t>
      </w:r>
    </w:p>
    <w:p>
      <w:pPr>
        <w:snapToGrid w:val="0"/>
        <w:spacing w:line="360" w:lineRule="auto"/>
        <w:ind w:firstLine="480" w:firstLineChars="200"/>
        <w:jc w:val="both"/>
        <w:rPr>
          <w:rFonts w:hint="eastAsia" w:ascii="Times New Roman" w:hAnsi="Times New Roman" w:cs="Times New Roman"/>
          <w:bCs/>
          <w:sz w:val="24"/>
          <w:szCs w:val="24"/>
        </w:rPr>
      </w:pPr>
      <w:r>
        <w:rPr>
          <w:rFonts w:hint="eastAsia" w:ascii="Times New Roman" w:hAnsi="Times New Roman" w:cs="Times New Roman"/>
          <w:bCs/>
          <w:sz w:val="24"/>
          <w:szCs w:val="24"/>
        </w:rPr>
        <w:t>蔗糖作为重要的</w:t>
      </w:r>
      <w:bookmarkStart w:id="1" w:name="_Hlk161350540"/>
      <w:r>
        <w:rPr>
          <w:rFonts w:hint="eastAsia" w:ascii="Times New Roman" w:hAnsi="Times New Roman" w:cs="Times New Roman"/>
          <w:bCs/>
          <w:sz w:val="24"/>
          <w:szCs w:val="24"/>
        </w:rPr>
        <w:t>药品</w:t>
      </w:r>
      <w:bookmarkEnd w:id="1"/>
      <w:r>
        <w:rPr>
          <w:rFonts w:hint="eastAsia" w:ascii="Times New Roman" w:hAnsi="Times New Roman" w:cs="Times New Roman"/>
          <w:bCs/>
          <w:sz w:val="24"/>
          <w:szCs w:val="24"/>
        </w:rPr>
        <w:t>辅料，在医药领域应用十分广泛。蔗糖既是重要的矫味剂，又是重要的赋形剂、黏合剂和保湿剂，广泛地应用于药品的颗粒剂、片剂、糖浆剂、口服液、膏滋、丸剂等口服制剂中。儿童是一个特殊的用药群体，他们从心理上对药物的色香味、外观和用药的依从性要求较高，因此，含有大量蔗糖的颗粒剂、糖浆剂等是儿童中较为常见的制剂。但是儿童的机体各系统、各器官的功能与成人相比尚未完善，酶系统也尚未完全，儿童的药物代谢速度较成人慢，比成人更易发生药物的不良反应。我国每年患病儿童的数量达到总患病人数的20％左右，当前儿童用药还存在适宜品种不足、药物使用不合理、生物利用度改变、患者可接受性差等问题。近些年，国家一直在鼓励开展儿童药物研发，为了更好满足儿童用药需求，国家药审中心专门发布了《儿童用药（化学药品）药学开发指导原则（试行）》，并指出应注意评估辅料对原药的吸收和生物利用度的潜在影响，对儿童药品中辅料的安全性进行评估。除了注射剂之外，大部分儿童用药的颗粒剂、片剂、糖浆剂、混悬液均涉及蔗糖。而针对儿童药物这一关键性应用领域，缺少对儿童药物中蔗糖的安全性进行评估，且未制定专门的儿童用糖标准，更缺少对儿童用糖关键组分和潜在危害物的必要控制。本项目拟建立儿童用蔗糖的团体质量标准，以确保蔗糖作为药用辅料能够在儿童制剂中的用药安全。</w:t>
      </w:r>
    </w:p>
    <w:p>
      <w:pPr>
        <w:snapToGrid w:val="0"/>
        <w:spacing w:line="360" w:lineRule="auto"/>
        <w:ind w:firstLine="480" w:firstLineChars="200"/>
        <w:jc w:val="both"/>
        <w:rPr>
          <w:rFonts w:hint="eastAsia" w:ascii="Times New Roman" w:hAnsi="Times New Roman" w:cs="Times New Roman"/>
          <w:bCs/>
          <w:sz w:val="24"/>
          <w:szCs w:val="24"/>
        </w:rPr>
      </w:pPr>
      <w:r>
        <w:rPr>
          <w:rFonts w:hint="eastAsia" w:ascii="Times New Roman" w:hAnsi="Times New Roman" w:cs="Times New Roman"/>
          <w:bCs/>
          <w:sz w:val="24"/>
          <w:szCs w:val="24"/>
        </w:rPr>
        <w:t>本项目收集了2批儿童用糖样品，样品详细信息见表1。</w:t>
      </w:r>
    </w:p>
    <w:p>
      <w:pPr>
        <w:snapToGrid w:val="0"/>
        <w:spacing w:line="360" w:lineRule="auto"/>
        <w:jc w:val="center"/>
        <w:rPr>
          <w:rFonts w:ascii="Times New Roman" w:hAnsi="Times New Roman" w:cs="Times New Roman"/>
          <w:bCs/>
          <w:szCs w:val="21"/>
        </w:rPr>
      </w:pPr>
      <w:r>
        <w:rPr>
          <w:rFonts w:hint="eastAsia" w:ascii="Times New Roman" w:hAnsi="Times New Roman" w:cs="Times New Roman"/>
          <w:bCs/>
          <w:szCs w:val="21"/>
        </w:rPr>
        <w:t xml:space="preserve">表1 </w:t>
      </w:r>
      <w:r>
        <w:rPr>
          <w:rFonts w:ascii="Times New Roman" w:hAnsi="Times New Roman" w:cs="Times New Roman"/>
          <w:bCs/>
          <w:szCs w:val="21"/>
        </w:rPr>
        <w:t xml:space="preserve"> </w:t>
      </w:r>
      <w:r>
        <w:rPr>
          <w:rFonts w:hint="eastAsia" w:ascii="Times New Roman" w:hAnsi="Times New Roman" w:cs="Times New Roman"/>
          <w:bCs/>
          <w:szCs w:val="21"/>
        </w:rPr>
        <w:t>样品信息表</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3993"/>
        <w:gridCol w:w="3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top"/>
          </w:tcPr>
          <w:p>
            <w:pPr>
              <w:spacing w:line="360" w:lineRule="auto"/>
              <w:jc w:val="center"/>
              <w:rPr>
                <w:rFonts w:hint="eastAsia" w:ascii="宋体" w:hAnsi="宋体" w:cs="Times New Roman"/>
                <w:szCs w:val="21"/>
              </w:rPr>
            </w:pPr>
            <w:r>
              <w:rPr>
                <w:rFonts w:hint="eastAsia" w:ascii="宋体" w:hAnsi="宋体" w:cs="Times New Roman"/>
                <w:szCs w:val="21"/>
              </w:rPr>
              <w:t>序号</w:t>
            </w:r>
          </w:p>
        </w:tc>
        <w:tc>
          <w:tcPr>
            <w:tcW w:w="3993" w:type="dxa"/>
            <w:noWrap w:val="0"/>
            <w:vAlign w:val="top"/>
          </w:tcPr>
          <w:p>
            <w:pPr>
              <w:spacing w:line="360" w:lineRule="auto"/>
              <w:jc w:val="center"/>
              <w:rPr>
                <w:rFonts w:ascii="宋体" w:hAnsi="宋体" w:cs="Times New Roman"/>
                <w:szCs w:val="21"/>
              </w:rPr>
            </w:pPr>
            <w:r>
              <w:rPr>
                <w:rFonts w:hint="eastAsia" w:ascii="宋体" w:hAnsi="宋体" w:cs="Times New Roman"/>
                <w:szCs w:val="21"/>
              </w:rPr>
              <w:t>生产企业</w:t>
            </w:r>
          </w:p>
        </w:tc>
        <w:tc>
          <w:tcPr>
            <w:tcW w:w="3795" w:type="dxa"/>
            <w:noWrap w:val="0"/>
            <w:vAlign w:val="top"/>
          </w:tcPr>
          <w:p>
            <w:pPr>
              <w:spacing w:line="360" w:lineRule="auto"/>
              <w:jc w:val="center"/>
              <w:rPr>
                <w:rFonts w:ascii="宋体" w:hAnsi="宋体" w:cs="Times New Roman"/>
                <w:szCs w:val="21"/>
              </w:rPr>
            </w:pPr>
            <w:r>
              <w:rPr>
                <w:rFonts w:hint="eastAsia" w:ascii="宋体" w:hAnsi="宋体" w:cs="Times New Roman"/>
                <w:szCs w:val="21"/>
              </w:rPr>
              <w:t>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1</w:t>
            </w:r>
          </w:p>
        </w:tc>
        <w:tc>
          <w:tcPr>
            <w:tcW w:w="3993" w:type="dxa"/>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3795" w:type="dxa"/>
            <w:noWrap w:val="0"/>
            <w:vAlign w:val="center"/>
          </w:tcPr>
          <w:p>
            <w:pPr>
              <w:widowControl/>
              <w:spacing w:line="360" w:lineRule="auto"/>
              <w:jc w:val="center"/>
              <w:textAlignment w:val="center"/>
              <w:rPr>
                <w:rFonts w:ascii="宋体" w:hAnsi="宋体" w:cs="Times New Roman"/>
                <w:szCs w:val="21"/>
              </w:rPr>
            </w:pPr>
            <w:r>
              <w:rPr>
                <w:rFonts w:hint="eastAsia" w:ascii="宋体" w:hAnsi="宋体" w:cs="Times New Roman"/>
                <w:szCs w:val="21"/>
              </w:rPr>
              <w:t>231108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2</w:t>
            </w:r>
          </w:p>
        </w:tc>
        <w:tc>
          <w:tcPr>
            <w:tcW w:w="3993" w:type="dxa"/>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3795" w:type="dxa"/>
            <w:noWrap w:val="0"/>
            <w:vAlign w:val="center"/>
          </w:tcPr>
          <w:p>
            <w:pPr>
              <w:widowControl/>
              <w:spacing w:line="360" w:lineRule="auto"/>
              <w:jc w:val="center"/>
              <w:textAlignment w:val="center"/>
              <w:rPr>
                <w:rFonts w:ascii="宋体" w:hAnsi="宋体" w:cs="Times New Roman"/>
                <w:szCs w:val="21"/>
              </w:rPr>
            </w:pPr>
            <w:r>
              <w:rPr>
                <w:rFonts w:hint="eastAsia" w:ascii="宋体" w:hAnsi="宋体" w:cs="Times New Roman"/>
                <w:szCs w:val="21"/>
              </w:rPr>
              <w:t>240104</w:t>
            </w:r>
          </w:p>
        </w:tc>
      </w:tr>
    </w:tbl>
    <w:p>
      <w:pPr>
        <w:snapToGrid w:val="0"/>
        <w:spacing w:line="360" w:lineRule="auto"/>
        <w:ind w:firstLine="480" w:firstLineChars="200"/>
        <w:jc w:val="left"/>
        <w:rPr>
          <w:rFonts w:ascii="Times New Roman" w:hAnsi="Times New Roman" w:cs="Times New Roman"/>
          <w:bCs/>
          <w:sz w:val="24"/>
          <w:szCs w:val="24"/>
        </w:rPr>
      </w:pPr>
    </w:p>
    <w:p>
      <w:pPr>
        <w:snapToGrid w:val="0"/>
        <w:spacing w:line="360" w:lineRule="auto"/>
        <w:ind w:firstLine="482" w:firstLineChars="200"/>
        <w:jc w:val="left"/>
        <w:outlineLvl w:val="1"/>
        <w:rPr>
          <w:rFonts w:ascii="Times New Roman" w:hAnsi="Times New Roman" w:cs="Times New Roman"/>
          <w:b/>
          <w:bCs/>
          <w:sz w:val="24"/>
          <w:szCs w:val="24"/>
        </w:rPr>
      </w:pPr>
      <w:r>
        <w:rPr>
          <w:rFonts w:hint="eastAsia" w:ascii="Times New Roman" w:hAnsi="Times New Roman" w:cs="Times New Roman"/>
          <w:b/>
          <w:bCs/>
          <w:sz w:val="24"/>
          <w:szCs w:val="24"/>
        </w:rPr>
        <w:t>2.标准制定说明</w:t>
      </w:r>
    </w:p>
    <w:p>
      <w:pPr>
        <w:snapToGrid w:val="0"/>
        <w:spacing w:line="360" w:lineRule="auto"/>
        <w:ind w:firstLine="482" w:firstLineChars="200"/>
        <w:jc w:val="both"/>
        <w:outlineLvl w:val="2"/>
        <w:rPr>
          <w:rFonts w:ascii="Times New Roman" w:hAnsi="Times New Roman" w:cs="Times New Roman"/>
          <w:b/>
          <w:bCs/>
          <w:sz w:val="24"/>
          <w:szCs w:val="24"/>
        </w:rPr>
      </w:pPr>
      <w:r>
        <w:rPr>
          <w:rFonts w:hint="eastAsia" w:ascii="Times New Roman" w:hAnsi="Times New Roman" w:cs="Times New Roman"/>
          <w:b/>
          <w:bCs/>
          <w:sz w:val="24"/>
          <w:szCs w:val="24"/>
        </w:rPr>
        <w:t>2.1【性状】</w:t>
      </w:r>
    </w:p>
    <w:p>
      <w:pPr>
        <w:snapToGrid w:val="0"/>
        <w:spacing w:line="360" w:lineRule="auto"/>
        <w:ind w:firstLine="482" w:firstLineChars="200"/>
        <w:jc w:val="left"/>
        <w:rPr>
          <w:rFonts w:ascii="Times New Roman" w:hAnsi="Times New Roman" w:cs="Times New Roman"/>
          <w:b/>
          <w:bCs/>
          <w:sz w:val="24"/>
          <w:szCs w:val="24"/>
        </w:rPr>
      </w:pPr>
      <w:bookmarkStart w:id="2" w:name="_Hlk161350887"/>
      <w:r>
        <w:rPr>
          <w:rFonts w:hint="eastAsia" w:ascii="Times New Roman" w:hAnsi="Times New Roman" w:cs="Times New Roman"/>
          <w:b/>
          <w:sz w:val="24"/>
          <w:szCs w:val="24"/>
        </w:rPr>
        <w:t>2.1.1</w:t>
      </w:r>
      <w:r>
        <w:rPr>
          <w:rFonts w:hint="eastAsia" w:ascii="Times New Roman" w:hAnsi="Times New Roman" w:cs="Times New Roman"/>
          <w:b/>
          <w:bCs/>
          <w:sz w:val="24"/>
          <w:szCs w:val="24"/>
        </w:rPr>
        <w:t xml:space="preserve"> </w:t>
      </w:r>
      <w:bookmarkEnd w:id="2"/>
      <w:r>
        <w:rPr>
          <w:rFonts w:hint="eastAsia" w:ascii="Times New Roman" w:hAnsi="Times New Roman" w:cs="Times New Roman"/>
          <w:b/>
          <w:bCs/>
          <w:sz w:val="24"/>
          <w:szCs w:val="24"/>
        </w:rPr>
        <w:t>外观</w:t>
      </w:r>
    </w:p>
    <w:p>
      <w:pPr>
        <w:snapToGrid w:val="0"/>
        <w:spacing w:line="360" w:lineRule="auto"/>
        <w:ind w:firstLine="480" w:firstLineChars="200"/>
        <w:jc w:val="left"/>
        <w:rPr>
          <w:rFonts w:hint="eastAsia" w:ascii="Times New Roman" w:hAnsi="Times New Roman" w:cs="Times New Roman"/>
          <w:bCs/>
          <w:sz w:val="24"/>
          <w:szCs w:val="24"/>
        </w:rPr>
      </w:pPr>
      <w:r>
        <w:rPr>
          <w:rFonts w:hint="eastAsia" w:ascii="Times New Roman" w:hAnsi="Times New Roman" w:cs="Times New Roman"/>
          <w:bCs/>
          <w:sz w:val="24"/>
          <w:szCs w:val="24"/>
        </w:rPr>
        <w:t>本品2批样品均为无色结晶。</w:t>
      </w:r>
    </w:p>
    <w:p>
      <w:pPr>
        <w:snapToGrid w:val="0"/>
        <w:spacing w:line="360" w:lineRule="auto"/>
        <w:ind w:firstLine="482" w:firstLineChars="200"/>
        <w:jc w:val="both"/>
        <w:rPr>
          <w:rFonts w:hint="eastAsia" w:ascii="Times New Roman" w:hAnsi="Times New Roman" w:cs="Times New Roman"/>
          <w:b/>
          <w:bCs/>
          <w:sz w:val="24"/>
          <w:szCs w:val="24"/>
        </w:rPr>
      </w:pPr>
      <w:r>
        <w:rPr>
          <w:rFonts w:hint="eastAsia" w:ascii="Times New Roman" w:hAnsi="Times New Roman" w:cs="Times New Roman"/>
          <w:b/>
          <w:bCs/>
          <w:sz w:val="24"/>
          <w:szCs w:val="24"/>
        </w:rPr>
        <w:t>2.1.2 比旋度</w:t>
      </w:r>
    </w:p>
    <w:p>
      <w:pPr>
        <w:snapToGrid w:val="0"/>
        <w:spacing w:line="360" w:lineRule="auto"/>
        <w:ind w:firstLine="480" w:firstLineChars="200"/>
        <w:jc w:val="both"/>
        <w:rPr>
          <w:rFonts w:hint="eastAsia" w:ascii="Times New Roman" w:hAnsi="Times New Roman" w:cs="Times New Roman"/>
          <w:bCs/>
          <w:sz w:val="24"/>
          <w:szCs w:val="24"/>
        </w:rPr>
      </w:pPr>
      <w:r>
        <w:rPr>
          <w:rFonts w:hint="eastAsia" w:ascii="Times New Roman" w:hAnsi="Times New Roman" w:cs="Times New Roman"/>
          <w:bCs/>
          <w:sz w:val="24"/>
          <w:szCs w:val="24"/>
        </w:rPr>
        <w:t>比旋度为物质的常数，在一定程度上可反应</w:t>
      </w:r>
      <w:r>
        <w:rPr>
          <w:rFonts w:hint="eastAsia" w:ascii="Times New Roman" w:hAnsi="Times New Roman" w:cs="Times New Roman"/>
          <w:sz w:val="24"/>
          <w:szCs w:val="24"/>
        </w:rPr>
        <w:t>样品的纯度，故拟定了该项。</w:t>
      </w:r>
      <w:bookmarkStart w:id="3" w:name="_Hlk161350947"/>
      <w:r>
        <w:rPr>
          <w:rFonts w:hint="eastAsia" w:ascii="Times New Roman" w:hAnsi="Times New Roman" w:cs="Times New Roman"/>
          <w:bCs/>
          <w:sz w:val="24"/>
          <w:szCs w:val="24"/>
        </w:rPr>
        <w:t>拟定方法见标准正文。</w:t>
      </w:r>
      <w:bookmarkEnd w:id="3"/>
      <w:r>
        <w:rPr>
          <w:rFonts w:hint="eastAsia" w:ascii="Times New Roman" w:hAnsi="Times New Roman" w:cs="Times New Roman"/>
          <w:bCs/>
          <w:sz w:val="24"/>
          <w:szCs w:val="24"/>
        </w:rPr>
        <w:t>2批样品按拟定方法检验，结果见表2。</w:t>
      </w:r>
    </w:p>
    <w:p>
      <w:pPr>
        <w:snapToGrid w:val="0"/>
        <w:spacing w:line="360" w:lineRule="auto"/>
        <w:jc w:val="center"/>
        <w:rPr>
          <w:rFonts w:hint="eastAsia" w:ascii="Times New Roman" w:hAnsi="Times New Roman" w:cs="Times New Roman"/>
          <w:bCs/>
          <w:szCs w:val="21"/>
        </w:rPr>
      </w:pPr>
      <w:r>
        <w:rPr>
          <w:rFonts w:hint="eastAsia" w:ascii="Times New Roman" w:hAnsi="Times New Roman" w:cs="Times New Roman"/>
          <w:bCs/>
          <w:szCs w:val="21"/>
        </w:rPr>
        <w:t xml:space="preserve">表2 </w:t>
      </w:r>
      <w:r>
        <w:rPr>
          <w:rFonts w:ascii="Times New Roman" w:hAnsi="Times New Roman" w:cs="Times New Roman"/>
          <w:bCs/>
          <w:szCs w:val="21"/>
        </w:rPr>
        <w:t xml:space="preserve"> </w:t>
      </w:r>
      <w:r>
        <w:rPr>
          <w:rFonts w:hint="eastAsia" w:ascii="Times New Roman" w:hAnsi="Times New Roman" w:cs="Times New Roman"/>
          <w:bCs/>
          <w:szCs w:val="21"/>
        </w:rPr>
        <w:t>比旋度测定结果</w:t>
      </w:r>
    </w:p>
    <w:tbl>
      <w:tblPr>
        <w:tblStyle w:val="2"/>
        <w:tblW w:w="8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3717"/>
        <w:gridCol w:w="1746"/>
        <w:gridCol w:w="1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序号</w:t>
            </w:r>
          </w:p>
        </w:tc>
        <w:tc>
          <w:tcPr>
            <w:tcW w:w="3717" w:type="dxa"/>
            <w:noWrap w:val="0"/>
            <w:vAlign w:val="center"/>
          </w:tcPr>
          <w:p>
            <w:pPr>
              <w:spacing w:line="360" w:lineRule="auto"/>
              <w:jc w:val="center"/>
              <w:rPr>
                <w:rFonts w:ascii="宋体" w:hAnsi="宋体" w:cs="Times New Roman"/>
                <w:szCs w:val="21"/>
              </w:rPr>
            </w:pPr>
            <w:r>
              <w:rPr>
                <w:rFonts w:hint="eastAsia" w:ascii="宋体" w:hAnsi="宋体" w:cs="Times New Roman"/>
                <w:szCs w:val="21"/>
              </w:rPr>
              <w:t>生产企业</w:t>
            </w:r>
          </w:p>
        </w:tc>
        <w:tc>
          <w:tcPr>
            <w:tcW w:w="1746" w:type="dxa"/>
            <w:noWrap w:val="0"/>
            <w:vAlign w:val="center"/>
          </w:tcPr>
          <w:p>
            <w:pPr>
              <w:spacing w:line="360" w:lineRule="auto"/>
              <w:jc w:val="center"/>
              <w:rPr>
                <w:rFonts w:ascii="宋体" w:hAnsi="宋体" w:cs="Times New Roman"/>
                <w:szCs w:val="21"/>
              </w:rPr>
            </w:pPr>
            <w:r>
              <w:rPr>
                <w:rFonts w:hint="eastAsia" w:ascii="宋体" w:hAnsi="宋体" w:cs="Times New Roman"/>
                <w:szCs w:val="21"/>
              </w:rPr>
              <w:t>批号</w:t>
            </w:r>
          </w:p>
        </w:tc>
        <w:tc>
          <w:tcPr>
            <w:tcW w:w="1988"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比旋度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1</w:t>
            </w:r>
          </w:p>
        </w:tc>
        <w:tc>
          <w:tcPr>
            <w:tcW w:w="3717" w:type="dxa"/>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1746" w:type="dxa"/>
            <w:noWrap w:val="0"/>
            <w:vAlign w:val="center"/>
          </w:tcPr>
          <w:p>
            <w:pPr>
              <w:widowControl/>
              <w:spacing w:line="360" w:lineRule="auto"/>
              <w:jc w:val="center"/>
              <w:textAlignment w:val="center"/>
              <w:rPr>
                <w:rFonts w:ascii="宋体" w:hAnsi="宋体" w:cs="Times New Roman"/>
                <w:szCs w:val="21"/>
              </w:rPr>
            </w:pPr>
            <w:r>
              <w:rPr>
                <w:rFonts w:hint="eastAsia" w:ascii="宋体" w:hAnsi="宋体" w:cs="Times New Roman"/>
                <w:szCs w:val="21"/>
              </w:rPr>
              <w:t>231108</w:t>
            </w:r>
          </w:p>
        </w:tc>
        <w:tc>
          <w:tcPr>
            <w:tcW w:w="1988" w:type="dxa"/>
            <w:noWrap w:val="0"/>
            <w:vAlign w:val="center"/>
          </w:tcPr>
          <w:p>
            <w:pPr>
              <w:widowControl/>
              <w:jc w:val="center"/>
              <w:textAlignment w:val="bottom"/>
              <w:rPr>
                <w:rFonts w:ascii="宋体" w:hAnsi="宋体" w:cs="宋体"/>
                <w:color w:val="000000"/>
                <w:kern w:val="0"/>
                <w:szCs w:val="21"/>
                <w:lang w:bidi="ar"/>
              </w:rPr>
            </w:pPr>
            <w:r>
              <w:rPr>
                <w:rFonts w:hint="eastAsia" w:ascii="宋体" w:hAnsi="宋体" w:cs="宋体"/>
                <w:color w:val="000000"/>
                <w:kern w:val="0"/>
                <w:szCs w:val="21"/>
                <w:lang w:bidi="ar"/>
              </w:rPr>
              <w:t>+66.8</w:t>
            </w:r>
            <w:r>
              <w:rPr>
                <w:rFonts w:hint="eastAsia" w:ascii="宋体" w:hAnsi="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2</w:t>
            </w:r>
          </w:p>
        </w:tc>
        <w:tc>
          <w:tcPr>
            <w:tcW w:w="3717" w:type="dxa"/>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1746" w:type="dxa"/>
            <w:noWrap w:val="0"/>
            <w:vAlign w:val="center"/>
          </w:tcPr>
          <w:p>
            <w:pPr>
              <w:widowControl/>
              <w:spacing w:line="360" w:lineRule="auto"/>
              <w:jc w:val="center"/>
              <w:textAlignment w:val="center"/>
              <w:rPr>
                <w:rFonts w:ascii="宋体" w:hAnsi="宋体" w:cs="Times New Roman"/>
                <w:szCs w:val="21"/>
              </w:rPr>
            </w:pPr>
            <w:r>
              <w:rPr>
                <w:rFonts w:hint="eastAsia" w:ascii="宋体" w:hAnsi="宋体" w:cs="Times New Roman"/>
                <w:szCs w:val="21"/>
              </w:rPr>
              <w:t>240104</w:t>
            </w:r>
          </w:p>
        </w:tc>
        <w:tc>
          <w:tcPr>
            <w:tcW w:w="1988" w:type="dxa"/>
            <w:noWrap w:val="0"/>
            <w:vAlign w:val="center"/>
          </w:tcPr>
          <w:p>
            <w:pPr>
              <w:widowControl/>
              <w:jc w:val="center"/>
              <w:textAlignment w:val="bottom"/>
              <w:rPr>
                <w:rFonts w:ascii="宋体" w:hAnsi="宋体" w:cs="宋体"/>
                <w:color w:val="000000"/>
                <w:kern w:val="0"/>
                <w:szCs w:val="21"/>
                <w:lang w:bidi="ar"/>
              </w:rPr>
            </w:pPr>
            <w:r>
              <w:rPr>
                <w:rFonts w:hint="eastAsia" w:ascii="宋体" w:hAnsi="宋体" w:cs="宋体"/>
                <w:color w:val="000000"/>
                <w:kern w:val="0"/>
                <w:szCs w:val="21"/>
                <w:lang w:bidi="ar"/>
              </w:rPr>
              <w:t>+66.3</w:t>
            </w:r>
            <w:r>
              <w:rPr>
                <w:rFonts w:hint="eastAsia" w:ascii="宋体" w:hAnsi="宋体" w:cs="Times New Roman"/>
                <w:bCs/>
                <w:sz w:val="21"/>
                <w:szCs w:val="21"/>
              </w:rPr>
              <w:t>°</w:t>
            </w:r>
          </w:p>
        </w:tc>
      </w:tr>
    </w:tbl>
    <w:p>
      <w:pPr>
        <w:snapToGrid w:val="0"/>
        <w:spacing w:line="360" w:lineRule="auto"/>
        <w:ind w:firstLine="480" w:firstLineChars="200"/>
        <w:jc w:val="left"/>
        <w:rPr>
          <w:rFonts w:ascii="Times New Roman" w:hAnsi="Times New Roman" w:cs="Times New Roman"/>
          <w:bCs/>
          <w:sz w:val="24"/>
          <w:szCs w:val="24"/>
        </w:rPr>
      </w:pPr>
    </w:p>
    <w:p>
      <w:pPr>
        <w:snapToGrid w:val="0"/>
        <w:spacing w:line="360" w:lineRule="auto"/>
        <w:ind w:firstLine="482" w:firstLineChars="200"/>
        <w:jc w:val="both"/>
        <w:outlineLvl w:val="2"/>
        <w:rPr>
          <w:rFonts w:ascii="Times New Roman" w:hAnsi="Times New Roman" w:cs="Times New Roman"/>
          <w:b/>
          <w:bCs/>
          <w:sz w:val="24"/>
          <w:szCs w:val="24"/>
        </w:rPr>
      </w:pPr>
      <w:r>
        <w:rPr>
          <w:rFonts w:hint="eastAsia" w:ascii="Times New Roman" w:hAnsi="Times New Roman" w:cs="Times New Roman"/>
          <w:b/>
          <w:bCs/>
          <w:sz w:val="24"/>
          <w:szCs w:val="24"/>
        </w:rPr>
        <w:t>2.2【鉴别】</w:t>
      </w:r>
    </w:p>
    <w:p>
      <w:pPr>
        <w:snapToGrid w:val="0"/>
        <w:spacing w:line="360" w:lineRule="auto"/>
        <w:ind w:firstLine="480" w:firstLineChars="200"/>
        <w:jc w:val="left"/>
        <w:rPr>
          <w:rFonts w:ascii="宋体" w:hAnsi="宋体" w:cs="Times New Roman"/>
          <w:sz w:val="24"/>
          <w:szCs w:val="24"/>
        </w:rPr>
      </w:pPr>
      <w:r>
        <w:rPr>
          <w:rFonts w:hint="eastAsia" w:ascii="宋体" w:hAnsi="宋体" w:cs="Times New Roman"/>
          <w:sz w:val="24"/>
          <w:szCs w:val="24"/>
        </w:rPr>
        <w:t xml:space="preserve">（1）化学鉴别 </w:t>
      </w:r>
    </w:p>
    <w:p>
      <w:pPr>
        <w:snapToGrid w:val="0"/>
        <w:spacing w:line="360" w:lineRule="auto"/>
        <w:ind w:firstLine="480" w:firstLineChars="200"/>
        <w:jc w:val="left"/>
        <w:rPr>
          <w:rFonts w:ascii="宋体" w:hAnsi="宋体" w:cs="Times New Roman"/>
          <w:sz w:val="24"/>
          <w:szCs w:val="24"/>
        </w:rPr>
      </w:pPr>
      <w:r>
        <w:rPr>
          <w:rFonts w:hint="eastAsia" w:ascii="宋体" w:hAnsi="宋体" w:cs="Times New Roman"/>
          <w:bCs/>
          <w:sz w:val="24"/>
          <w:szCs w:val="24"/>
        </w:rPr>
        <w:t>拟定方法见标准正文。</w:t>
      </w:r>
      <w:r>
        <w:rPr>
          <w:rFonts w:hint="eastAsia" w:ascii="Times New Roman" w:hAnsi="Times New Roman" w:cs="Times New Roman"/>
          <w:bCs/>
          <w:sz w:val="24"/>
          <w:szCs w:val="24"/>
        </w:rPr>
        <w:t>本品2批按拟定方法检验，均呈正反应。</w:t>
      </w:r>
    </w:p>
    <w:p>
      <w:pPr>
        <w:snapToGrid w:val="0"/>
        <w:spacing w:line="360" w:lineRule="auto"/>
        <w:ind w:firstLine="480" w:firstLineChars="200"/>
        <w:jc w:val="left"/>
        <w:rPr>
          <w:rFonts w:ascii="宋体" w:hAnsi="宋体" w:cs="Times New Roman"/>
          <w:sz w:val="24"/>
          <w:szCs w:val="24"/>
        </w:rPr>
      </w:pPr>
      <w:r>
        <w:rPr>
          <w:rFonts w:hint="eastAsia" w:ascii="宋体" w:hAnsi="宋体" w:cs="Times New Roman"/>
          <w:bCs/>
          <w:sz w:val="24"/>
          <w:szCs w:val="24"/>
        </w:rPr>
        <w:t>（2）红外鉴别</w:t>
      </w:r>
      <w:r>
        <w:rPr>
          <w:rFonts w:hint="eastAsia" w:ascii="宋体" w:hAnsi="宋体" w:cs="Times New Roman"/>
          <w:sz w:val="24"/>
          <w:szCs w:val="24"/>
        </w:rPr>
        <w:t xml:space="preserve"> </w:t>
      </w:r>
    </w:p>
    <w:p>
      <w:pPr>
        <w:snapToGrid w:val="0"/>
        <w:spacing w:line="360" w:lineRule="auto"/>
        <w:ind w:firstLine="480" w:firstLineChars="200"/>
        <w:jc w:val="left"/>
        <w:rPr>
          <w:rFonts w:hint="eastAsia" w:ascii="Times New Roman" w:hAnsi="Times New Roman" w:cs="Times New Roman"/>
          <w:bCs/>
          <w:sz w:val="24"/>
          <w:szCs w:val="24"/>
        </w:rPr>
      </w:pPr>
      <w:r>
        <w:rPr>
          <w:rFonts w:hint="eastAsia" w:ascii="宋体" w:hAnsi="宋体" w:cs="Times New Roman"/>
          <w:bCs/>
          <w:sz w:val="24"/>
          <w:szCs w:val="24"/>
        </w:rPr>
        <w:t>拟定方法见标准正文。</w:t>
      </w:r>
      <w:r>
        <w:rPr>
          <w:rFonts w:hint="eastAsia" w:ascii="Times New Roman" w:hAnsi="Times New Roman" w:cs="Times New Roman"/>
          <w:bCs/>
          <w:sz w:val="24"/>
          <w:szCs w:val="24"/>
        </w:rPr>
        <w:t>本品2批的红外光谱图均与蔗糖对照品的图谱一致。典型图谱见图1、图2。</w:t>
      </w:r>
    </w:p>
    <w:p>
      <w:pPr>
        <w:snapToGrid w:val="0"/>
        <w:spacing w:line="360" w:lineRule="auto"/>
        <w:ind w:firstLine="0" w:firstLineChars="0"/>
        <w:jc w:val="center"/>
        <w:rPr>
          <w:rFonts w:hint="eastAsia" w:ascii="Times New Roman" w:hAnsi="Times New Roman" w:cs="Times New Roman"/>
          <w:bCs/>
          <w:sz w:val="24"/>
          <w:szCs w:val="24"/>
          <w:highlight w:val="yellow"/>
        </w:rPr>
      </w:pPr>
      <w:r>
        <w:rPr>
          <w:rFonts w:hint="eastAsia" w:ascii="Times New Roman" w:hAnsi="Times New Roman" w:cs="Times New Roman"/>
          <w:bCs/>
          <w:sz w:val="24"/>
          <w:szCs w:val="24"/>
          <w:highlight w:val="yellow"/>
        </w:rPr>
        <w:drawing>
          <wp:inline distT="0" distB="0" distL="114300" distR="114300">
            <wp:extent cx="5039995" cy="2519680"/>
            <wp:effectExtent l="0" t="0" r="8255" b="13970"/>
            <wp:docPr id="15" name="图片 15" descr="蔗糖对照"/>
            <wp:cNvGraphicFramePr/>
            <a:graphic xmlns:a="http://schemas.openxmlformats.org/drawingml/2006/main">
              <a:graphicData uri="http://schemas.openxmlformats.org/drawingml/2006/picture">
                <pic:pic xmlns:pic="http://schemas.openxmlformats.org/drawingml/2006/picture">
                  <pic:nvPicPr>
                    <pic:cNvPr id="15" name="图片 15" descr="蔗糖对照"/>
                    <pic:cNvPicPr/>
                  </pic:nvPicPr>
                  <pic:blipFill>
                    <a:blip r:embed="rId4"/>
                    <a:srcRect r="1012" b="18129"/>
                    <a:stretch>
                      <a:fillRect/>
                    </a:stretch>
                  </pic:blipFill>
                  <pic:spPr>
                    <a:xfrm>
                      <a:off x="0" y="0"/>
                      <a:ext cx="5039995" cy="2519680"/>
                    </a:xfrm>
                    <a:prstGeom prst="rect">
                      <a:avLst/>
                    </a:prstGeom>
                    <a:noFill/>
                    <a:ln>
                      <a:noFill/>
                    </a:ln>
                  </pic:spPr>
                </pic:pic>
              </a:graphicData>
            </a:graphic>
          </wp:inline>
        </w:drawing>
      </w:r>
    </w:p>
    <w:p>
      <w:pPr>
        <w:snapToGrid w:val="0"/>
        <w:spacing w:line="360" w:lineRule="auto"/>
        <w:ind w:firstLine="0" w:firstLineChars="0"/>
        <w:jc w:val="center"/>
        <w:rPr>
          <w:rFonts w:ascii="Times New Roman" w:hAnsi="Times New Roman" w:cs="Times New Roman"/>
          <w:bCs/>
          <w:sz w:val="21"/>
          <w:szCs w:val="21"/>
        </w:rPr>
      </w:pPr>
      <w:r>
        <w:rPr>
          <w:rFonts w:hint="eastAsia" w:ascii="Times New Roman" w:hAnsi="Times New Roman" w:cs="Times New Roman"/>
          <w:bCs/>
          <w:sz w:val="21"/>
          <w:szCs w:val="21"/>
        </w:rPr>
        <w:t xml:space="preserve">图1 </w:t>
      </w:r>
      <w:r>
        <w:rPr>
          <w:rFonts w:ascii="Times New Roman" w:hAnsi="Times New Roman" w:cs="Times New Roman"/>
          <w:bCs/>
          <w:sz w:val="21"/>
          <w:szCs w:val="21"/>
        </w:rPr>
        <w:t xml:space="preserve"> </w:t>
      </w:r>
      <w:r>
        <w:rPr>
          <w:rFonts w:hint="eastAsia" w:ascii="Times New Roman" w:hAnsi="Times New Roman" w:cs="Times New Roman"/>
          <w:bCs/>
          <w:sz w:val="21"/>
          <w:szCs w:val="21"/>
        </w:rPr>
        <w:t>蔗糖对照品红外</w:t>
      </w:r>
      <w:r>
        <w:rPr>
          <w:rFonts w:hint="eastAsia" w:ascii="Times New Roman" w:hAnsi="Times New Roman" w:cs="Times New Roman"/>
          <w:bCs/>
          <w:szCs w:val="21"/>
        </w:rPr>
        <w:t>典型</w:t>
      </w:r>
      <w:r>
        <w:rPr>
          <w:rFonts w:hint="eastAsia" w:ascii="Times New Roman" w:hAnsi="Times New Roman" w:cs="Times New Roman"/>
          <w:bCs/>
          <w:sz w:val="21"/>
          <w:szCs w:val="21"/>
        </w:rPr>
        <w:t>图</w:t>
      </w:r>
      <w:r>
        <w:rPr>
          <w:rFonts w:hint="eastAsia" w:ascii="Times New Roman" w:hAnsi="Times New Roman" w:cs="Times New Roman"/>
          <w:bCs/>
          <w:szCs w:val="21"/>
        </w:rPr>
        <w:t>谱</w:t>
      </w:r>
    </w:p>
    <w:p>
      <w:pPr>
        <w:snapToGrid w:val="0"/>
        <w:spacing w:line="360" w:lineRule="auto"/>
        <w:ind w:firstLine="0" w:firstLineChars="0"/>
        <w:jc w:val="center"/>
        <w:rPr>
          <w:rFonts w:hint="eastAsia" w:ascii="Times New Roman" w:hAnsi="Times New Roman" w:cs="Times New Roman"/>
          <w:bCs/>
          <w:sz w:val="24"/>
          <w:szCs w:val="24"/>
          <w:highlight w:val="yellow"/>
        </w:rPr>
      </w:pPr>
      <w:r>
        <w:rPr>
          <w:rFonts w:hint="eastAsia" w:ascii="Times New Roman" w:hAnsi="Times New Roman" w:cs="Times New Roman"/>
          <w:bCs/>
          <w:sz w:val="24"/>
          <w:szCs w:val="24"/>
          <w:highlight w:val="yellow"/>
        </w:rPr>
        <w:drawing>
          <wp:inline distT="0" distB="0" distL="114300" distR="114300">
            <wp:extent cx="5039995" cy="2519680"/>
            <wp:effectExtent l="0" t="0" r="8255" b="13970"/>
            <wp:docPr id="19" name="图片 16" descr="240104"/>
            <wp:cNvGraphicFramePr/>
            <a:graphic xmlns:a="http://schemas.openxmlformats.org/drawingml/2006/main">
              <a:graphicData uri="http://schemas.openxmlformats.org/drawingml/2006/picture">
                <pic:pic xmlns:pic="http://schemas.openxmlformats.org/drawingml/2006/picture">
                  <pic:nvPicPr>
                    <pic:cNvPr id="19" name="图片 16" descr="240104"/>
                    <pic:cNvPicPr/>
                  </pic:nvPicPr>
                  <pic:blipFill>
                    <a:blip r:embed="rId5"/>
                    <a:srcRect r="3554" b="18044"/>
                    <a:stretch>
                      <a:fillRect/>
                    </a:stretch>
                  </pic:blipFill>
                  <pic:spPr>
                    <a:xfrm>
                      <a:off x="0" y="0"/>
                      <a:ext cx="5039995" cy="2519680"/>
                    </a:xfrm>
                    <a:prstGeom prst="rect">
                      <a:avLst/>
                    </a:prstGeom>
                    <a:noFill/>
                    <a:ln>
                      <a:noFill/>
                    </a:ln>
                  </pic:spPr>
                </pic:pic>
              </a:graphicData>
            </a:graphic>
          </wp:inline>
        </w:drawing>
      </w:r>
    </w:p>
    <w:p>
      <w:pPr>
        <w:snapToGrid w:val="0"/>
        <w:spacing w:line="360" w:lineRule="auto"/>
        <w:ind w:firstLine="0" w:firstLineChars="0"/>
        <w:jc w:val="center"/>
        <w:rPr>
          <w:rFonts w:hint="eastAsia" w:ascii="宋体" w:hAnsi="宋体" w:cs="Times New Roman"/>
          <w:bCs/>
          <w:sz w:val="21"/>
          <w:szCs w:val="21"/>
          <w:highlight w:val="none"/>
        </w:rPr>
      </w:pPr>
      <w:r>
        <w:rPr>
          <w:rFonts w:hint="eastAsia" w:ascii="宋体" w:hAnsi="宋体" w:cs="Times New Roman"/>
          <w:bCs/>
          <w:sz w:val="21"/>
          <w:szCs w:val="21"/>
        </w:rPr>
        <w:t xml:space="preserve">图2 </w:t>
      </w:r>
      <w:r>
        <w:rPr>
          <w:rFonts w:ascii="宋体" w:hAnsi="宋体" w:cs="Times New Roman"/>
          <w:bCs/>
          <w:szCs w:val="21"/>
        </w:rPr>
        <w:t xml:space="preserve"> </w:t>
      </w:r>
      <w:bookmarkStart w:id="4" w:name="_Hlk161351375"/>
      <w:r>
        <w:rPr>
          <w:rFonts w:hint="eastAsia" w:ascii="宋体" w:hAnsi="宋体" w:cs="Times New Roman"/>
          <w:bCs/>
          <w:szCs w:val="21"/>
        </w:rPr>
        <w:t>儿童用糖样品（批号：231108）</w:t>
      </w:r>
      <w:r>
        <w:rPr>
          <w:rFonts w:hint="eastAsia" w:ascii="宋体" w:hAnsi="宋体" w:cs="Times New Roman"/>
          <w:bCs/>
          <w:sz w:val="21"/>
          <w:szCs w:val="21"/>
        </w:rPr>
        <w:t>红外</w:t>
      </w:r>
      <w:r>
        <w:rPr>
          <w:rFonts w:hint="eastAsia" w:ascii="宋体" w:hAnsi="宋体" w:cs="Times New Roman"/>
          <w:bCs/>
          <w:szCs w:val="21"/>
        </w:rPr>
        <w:t>典型图谱</w:t>
      </w:r>
      <w:bookmarkEnd w:id="4"/>
    </w:p>
    <w:p>
      <w:pPr>
        <w:snapToGrid w:val="0"/>
        <w:spacing w:line="360" w:lineRule="auto"/>
        <w:ind w:firstLine="482" w:firstLineChars="200"/>
        <w:outlineLvl w:val="2"/>
        <w:rPr>
          <w:rFonts w:ascii="Times New Roman" w:hAnsi="Times New Roman" w:cs="Times New Roman"/>
          <w:b/>
          <w:bCs/>
          <w:sz w:val="24"/>
          <w:szCs w:val="24"/>
        </w:rPr>
      </w:pPr>
      <w:r>
        <w:rPr>
          <w:rFonts w:hint="eastAsia" w:ascii="Times New Roman" w:hAnsi="Times New Roman" w:cs="Times New Roman"/>
          <w:b/>
          <w:bCs/>
          <w:sz w:val="24"/>
          <w:szCs w:val="24"/>
        </w:rPr>
        <w:t xml:space="preserve">2.3【检查】 </w:t>
      </w:r>
    </w:p>
    <w:p>
      <w:pPr>
        <w:snapToGrid w:val="0"/>
        <w:spacing w:line="360" w:lineRule="auto"/>
        <w:ind w:firstLine="482" w:firstLineChars="200"/>
        <w:outlineLvl w:val="3"/>
        <w:rPr>
          <w:rFonts w:ascii="Times New Roman" w:hAnsi="Times New Roman" w:cs="Times New Roman"/>
          <w:b/>
          <w:bCs/>
          <w:sz w:val="24"/>
          <w:szCs w:val="24"/>
        </w:rPr>
      </w:pPr>
      <w:r>
        <w:rPr>
          <w:rFonts w:hint="eastAsia" w:ascii="Times New Roman" w:hAnsi="Times New Roman" w:cs="Times New Roman"/>
          <w:b/>
          <w:bCs/>
          <w:sz w:val="24"/>
          <w:szCs w:val="24"/>
        </w:rPr>
        <w:t xml:space="preserve">2.3.1电导率  </w:t>
      </w:r>
    </w:p>
    <w:p>
      <w:pPr>
        <w:snapToGrid w:val="0"/>
        <w:spacing w:line="360" w:lineRule="auto"/>
        <w:ind w:firstLine="480" w:firstLineChars="200"/>
        <w:rPr>
          <w:rFonts w:hint="eastAsia" w:ascii="Times New Roman" w:hAnsi="Times New Roman" w:cs="Times New Roman"/>
          <w:bCs/>
          <w:sz w:val="24"/>
          <w:szCs w:val="24"/>
        </w:rPr>
      </w:pPr>
      <w:bookmarkStart w:id="5" w:name="_Hlk161351447"/>
      <w:r>
        <w:rPr>
          <w:rFonts w:hint="eastAsia" w:ascii="Times New Roman" w:hAnsi="Times New Roman" w:cs="Times New Roman"/>
          <w:bCs/>
          <w:sz w:val="24"/>
          <w:szCs w:val="24"/>
        </w:rPr>
        <w:t>蔗糖本身不导电，其水溶液的电导率与本品中所含的水溶性盐类杂质离子密切相关。对其水溶液中电导率的检测结果也可侧面反映样品中包含的杂质情况。拟定方法见标准正文。</w:t>
      </w:r>
      <w:bookmarkEnd w:id="5"/>
      <w:r>
        <w:rPr>
          <w:rFonts w:hint="eastAsia" w:ascii="Times New Roman" w:hAnsi="Times New Roman" w:cs="Times New Roman"/>
          <w:bCs/>
          <w:sz w:val="24"/>
          <w:szCs w:val="24"/>
        </w:rPr>
        <w:t>2批样品按拟定方法检验，测定结果见表3。</w:t>
      </w:r>
    </w:p>
    <w:p>
      <w:pPr>
        <w:snapToGrid w:val="0"/>
        <w:spacing w:line="360" w:lineRule="auto"/>
        <w:jc w:val="center"/>
        <w:rPr>
          <w:rFonts w:hint="eastAsia" w:ascii="宋体" w:hAnsi="宋体" w:cs="Times New Roman"/>
          <w:bCs/>
          <w:szCs w:val="21"/>
        </w:rPr>
      </w:pPr>
      <w:r>
        <w:rPr>
          <w:rFonts w:hint="eastAsia" w:ascii="宋体" w:hAnsi="宋体" w:cs="Times New Roman"/>
          <w:bCs/>
          <w:szCs w:val="21"/>
        </w:rPr>
        <w:t xml:space="preserve">表3 </w:t>
      </w:r>
      <w:r>
        <w:rPr>
          <w:rFonts w:ascii="宋体" w:hAnsi="宋体" w:cs="Times New Roman"/>
          <w:bCs/>
          <w:szCs w:val="21"/>
        </w:rPr>
        <w:t xml:space="preserve"> </w:t>
      </w:r>
      <w:r>
        <w:rPr>
          <w:rFonts w:hint="eastAsia" w:ascii="宋体" w:hAnsi="宋体" w:cs="Times New Roman"/>
          <w:bCs/>
          <w:szCs w:val="21"/>
        </w:rPr>
        <w:t>电导率测定结果</w:t>
      </w:r>
    </w:p>
    <w:tbl>
      <w:tblPr>
        <w:tblStyle w:val="2"/>
        <w:tblW w:w="8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3717"/>
        <w:gridCol w:w="1746"/>
        <w:gridCol w:w="1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序号</w:t>
            </w:r>
          </w:p>
        </w:tc>
        <w:tc>
          <w:tcPr>
            <w:tcW w:w="3717" w:type="dxa"/>
            <w:noWrap w:val="0"/>
            <w:vAlign w:val="center"/>
          </w:tcPr>
          <w:p>
            <w:pPr>
              <w:spacing w:line="360" w:lineRule="auto"/>
              <w:jc w:val="center"/>
              <w:rPr>
                <w:rFonts w:ascii="宋体" w:hAnsi="宋体" w:cs="Times New Roman"/>
                <w:szCs w:val="21"/>
              </w:rPr>
            </w:pPr>
            <w:r>
              <w:rPr>
                <w:rFonts w:hint="eastAsia" w:ascii="宋体" w:hAnsi="宋体" w:cs="Times New Roman"/>
                <w:szCs w:val="21"/>
              </w:rPr>
              <w:t>生产企业</w:t>
            </w:r>
          </w:p>
        </w:tc>
        <w:tc>
          <w:tcPr>
            <w:tcW w:w="1746" w:type="dxa"/>
            <w:noWrap w:val="0"/>
            <w:vAlign w:val="center"/>
          </w:tcPr>
          <w:p>
            <w:pPr>
              <w:spacing w:line="360" w:lineRule="auto"/>
              <w:jc w:val="center"/>
              <w:rPr>
                <w:rFonts w:ascii="宋体" w:hAnsi="宋体" w:cs="Times New Roman"/>
                <w:szCs w:val="21"/>
              </w:rPr>
            </w:pPr>
            <w:r>
              <w:rPr>
                <w:rFonts w:hint="eastAsia" w:ascii="宋体" w:hAnsi="宋体" w:cs="Times New Roman"/>
                <w:szCs w:val="21"/>
              </w:rPr>
              <w:t>批号</w:t>
            </w:r>
          </w:p>
        </w:tc>
        <w:tc>
          <w:tcPr>
            <w:tcW w:w="1988"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电导率（</w:t>
            </w:r>
            <w:r>
              <w:rPr>
                <w:rFonts w:hint="default" w:ascii="Times New Roman" w:hAnsi="Times New Roman" w:cs="Times New Roman"/>
                <w:bCs/>
                <w:sz w:val="21"/>
                <w:szCs w:val="21"/>
              </w:rPr>
              <w:t>μs·cm</w:t>
            </w:r>
            <w:r>
              <w:rPr>
                <w:rFonts w:hint="default" w:ascii="Times New Roman" w:hAnsi="Times New Roman" w:cs="Times New Roman"/>
                <w:bCs/>
                <w:sz w:val="21"/>
                <w:szCs w:val="21"/>
                <w:vertAlign w:val="superscript"/>
              </w:rPr>
              <w:t>-1</w:t>
            </w:r>
            <w:r>
              <w:rPr>
                <w:rFonts w:hint="eastAsia" w:ascii="宋体" w:hAnsi="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1</w:t>
            </w:r>
          </w:p>
        </w:tc>
        <w:tc>
          <w:tcPr>
            <w:tcW w:w="3717" w:type="dxa"/>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1746" w:type="dxa"/>
            <w:noWrap w:val="0"/>
            <w:vAlign w:val="center"/>
          </w:tcPr>
          <w:p>
            <w:pPr>
              <w:widowControl/>
              <w:spacing w:line="360" w:lineRule="auto"/>
              <w:jc w:val="center"/>
              <w:textAlignment w:val="center"/>
              <w:rPr>
                <w:rFonts w:ascii="宋体" w:hAnsi="宋体" w:cs="Times New Roman"/>
                <w:szCs w:val="21"/>
              </w:rPr>
            </w:pPr>
            <w:r>
              <w:rPr>
                <w:rFonts w:hint="eastAsia" w:ascii="宋体" w:hAnsi="宋体" w:cs="Times New Roman"/>
                <w:szCs w:val="21"/>
              </w:rPr>
              <w:t>231108</w:t>
            </w:r>
          </w:p>
        </w:tc>
        <w:tc>
          <w:tcPr>
            <w:tcW w:w="1988" w:type="dxa"/>
            <w:noWrap w:val="0"/>
            <w:vAlign w:val="center"/>
          </w:tcPr>
          <w:p>
            <w:pPr>
              <w:widowControl/>
              <w:jc w:val="center"/>
              <w:textAlignment w:val="bottom"/>
              <w:rPr>
                <w:rFonts w:ascii="宋体" w:hAnsi="宋体" w:cs="宋体"/>
                <w:color w:val="000000"/>
                <w:kern w:val="0"/>
                <w:szCs w:val="21"/>
                <w:lang w:bidi="ar"/>
              </w:rPr>
            </w:pPr>
            <w:r>
              <w:rPr>
                <w:rFonts w:hint="eastAsia" w:ascii="宋体" w:hAnsi="宋体" w:cs="宋体"/>
                <w:color w:val="000000"/>
                <w:kern w:val="0"/>
                <w:szCs w:val="21"/>
                <w:highlight w:val="none"/>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2</w:t>
            </w:r>
          </w:p>
        </w:tc>
        <w:tc>
          <w:tcPr>
            <w:tcW w:w="3717" w:type="dxa"/>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1746" w:type="dxa"/>
            <w:noWrap w:val="0"/>
            <w:vAlign w:val="center"/>
          </w:tcPr>
          <w:p>
            <w:pPr>
              <w:widowControl/>
              <w:spacing w:line="360" w:lineRule="auto"/>
              <w:jc w:val="center"/>
              <w:textAlignment w:val="center"/>
              <w:rPr>
                <w:rFonts w:ascii="宋体" w:hAnsi="宋体" w:cs="Times New Roman"/>
                <w:szCs w:val="21"/>
              </w:rPr>
            </w:pPr>
            <w:r>
              <w:rPr>
                <w:rFonts w:hint="eastAsia" w:ascii="宋体" w:hAnsi="宋体" w:cs="Times New Roman"/>
                <w:szCs w:val="21"/>
              </w:rPr>
              <w:t>240104</w:t>
            </w:r>
          </w:p>
        </w:tc>
        <w:tc>
          <w:tcPr>
            <w:tcW w:w="1988" w:type="dxa"/>
            <w:noWrap w:val="0"/>
            <w:vAlign w:val="center"/>
          </w:tcPr>
          <w:p>
            <w:pPr>
              <w:widowControl/>
              <w:jc w:val="center"/>
              <w:textAlignment w:val="bottom"/>
              <w:rPr>
                <w:rFonts w:hint="eastAsia" w:ascii="宋体" w:hAnsi="宋体" w:cs="宋体"/>
                <w:color w:val="000000"/>
                <w:kern w:val="0"/>
                <w:szCs w:val="21"/>
                <w:lang w:bidi="ar"/>
              </w:rPr>
            </w:pPr>
            <w:r>
              <w:rPr>
                <w:rFonts w:hint="eastAsia" w:ascii="宋体" w:hAnsi="宋体" w:cs="宋体"/>
                <w:color w:val="000000"/>
                <w:kern w:val="0"/>
                <w:szCs w:val="21"/>
                <w:highlight w:val="none"/>
                <w:lang w:bidi="ar"/>
              </w:rPr>
              <w:t>6</w:t>
            </w:r>
          </w:p>
        </w:tc>
      </w:tr>
    </w:tbl>
    <w:p>
      <w:pPr>
        <w:snapToGrid w:val="0"/>
        <w:spacing w:line="360" w:lineRule="auto"/>
        <w:ind w:firstLine="482" w:firstLineChars="200"/>
        <w:rPr>
          <w:rFonts w:ascii="Times New Roman" w:hAnsi="Times New Roman" w:cs="Times New Roman"/>
          <w:b/>
          <w:bCs/>
          <w:sz w:val="24"/>
          <w:szCs w:val="24"/>
        </w:rPr>
      </w:pPr>
    </w:p>
    <w:p>
      <w:pPr>
        <w:snapToGrid w:val="0"/>
        <w:spacing w:line="360" w:lineRule="auto"/>
        <w:ind w:firstLine="482" w:firstLineChars="200"/>
        <w:outlineLvl w:val="3"/>
        <w:rPr>
          <w:rFonts w:hint="eastAsia" w:ascii="Times New Roman" w:hAnsi="Times New Roman" w:cs="Times New Roman"/>
          <w:b/>
          <w:bCs/>
          <w:sz w:val="24"/>
          <w:szCs w:val="24"/>
        </w:rPr>
      </w:pPr>
      <w:r>
        <w:rPr>
          <w:rFonts w:hint="eastAsia" w:ascii="Times New Roman" w:hAnsi="Times New Roman" w:cs="Times New Roman"/>
          <w:b/>
          <w:bCs/>
          <w:sz w:val="24"/>
          <w:szCs w:val="24"/>
        </w:rPr>
        <w:t>2.3.2溶液的澄清度</w:t>
      </w:r>
    </w:p>
    <w:p>
      <w:pPr>
        <w:snapToGrid w:val="0"/>
        <w:spacing w:line="360" w:lineRule="auto"/>
        <w:ind w:firstLine="480" w:firstLineChars="200"/>
        <w:rPr>
          <w:rFonts w:hint="eastAsia" w:ascii="Times New Roman" w:hAnsi="Times New Roman" w:cs="Times New Roman"/>
          <w:b/>
          <w:sz w:val="24"/>
          <w:szCs w:val="24"/>
        </w:rPr>
      </w:pPr>
      <w:r>
        <w:rPr>
          <w:rFonts w:hint="eastAsia" w:ascii="Times New Roman" w:hAnsi="Times New Roman" w:cs="Times New Roman"/>
          <w:sz w:val="24"/>
          <w:szCs w:val="24"/>
        </w:rPr>
        <w:t>溶液澄清度可在一定程度上反映了样品的纯度，故拟定了检查项，</w:t>
      </w:r>
      <w:r>
        <w:rPr>
          <w:rFonts w:hint="eastAsia" w:ascii="Times New Roman" w:hAnsi="Times New Roman" w:cs="Times New Roman"/>
          <w:bCs/>
          <w:sz w:val="24"/>
          <w:szCs w:val="24"/>
        </w:rPr>
        <w:t>拟定方法见标准正文。2批样品按拟定方法检验，结果均符合规定。</w:t>
      </w:r>
    </w:p>
    <w:p>
      <w:pPr>
        <w:snapToGrid w:val="0"/>
        <w:spacing w:line="360" w:lineRule="auto"/>
        <w:ind w:firstLine="482" w:firstLineChars="200"/>
        <w:outlineLvl w:val="3"/>
        <w:rPr>
          <w:rFonts w:hint="eastAsia" w:ascii="Times New Roman" w:hAnsi="Times New Roman" w:cs="Times New Roman"/>
          <w:b/>
          <w:bCs/>
          <w:sz w:val="24"/>
          <w:szCs w:val="24"/>
        </w:rPr>
      </w:pPr>
      <w:r>
        <w:rPr>
          <w:rFonts w:hint="eastAsia" w:ascii="Times New Roman" w:hAnsi="Times New Roman" w:cs="Times New Roman"/>
          <w:b/>
          <w:bCs/>
          <w:sz w:val="24"/>
          <w:szCs w:val="24"/>
        </w:rPr>
        <w:t>2.3.3亚硫酸盐（以二氧化硫计）</w:t>
      </w:r>
    </w:p>
    <w:p>
      <w:pPr>
        <w:spacing w:line="360" w:lineRule="auto"/>
        <w:ind w:firstLine="480" w:firstLineChars="200"/>
        <w:rPr>
          <w:rFonts w:hint="eastAsia" w:cs="Times New Roman"/>
          <w:sz w:val="24"/>
          <w:szCs w:val="22"/>
        </w:rPr>
      </w:pPr>
      <w:r>
        <w:rPr>
          <w:rFonts w:hint="eastAsia" w:ascii="Times New Roman" w:hAnsi="Times New Roman" w:cs="Times New Roman"/>
          <w:sz w:val="24"/>
          <w:szCs w:val="24"/>
        </w:rPr>
        <w:t>传统的制糖工艺均会用到二氧化硫进行漂洗等，从而造成成品糖残留二氧化硫。二氧化硫具有还原性，可能会影响制剂中</w:t>
      </w:r>
      <w:bookmarkStart w:id="6" w:name="_Hlk161351590"/>
      <w:r>
        <w:rPr>
          <w:rFonts w:hint="eastAsia" w:ascii="Times New Roman" w:hAnsi="Times New Roman" w:cs="Times New Roman"/>
          <w:sz w:val="24"/>
          <w:szCs w:val="24"/>
        </w:rPr>
        <w:t>主要活性成分</w:t>
      </w:r>
      <w:bookmarkEnd w:id="6"/>
      <w:r>
        <w:rPr>
          <w:rFonts w:hint="eastAsia" w:ascii="Times New Roman" w:hAnsi="Times New Roman" w:cs="Times New Roman"/>
          <w:sz w:val="24"/>
          <w:szCs w:val="24"/>
        </w:rPr>
        <w:t>的稳定性。因此拟定了亚硫酸盐的检测项目，</w:t>
      </w:r>
      <w:bookmarkStart w:id="7" w:name="_Hlk161351604"/>
      <w:r>
        <w:rPr>
          <w:rFonts w:hint="eastAsia" w:ascii="Times New Roman" w:hAnsi="Times New Roman" w:cs="Times New Roman"/>
          <w:bCs/>
          <w:sz w:val="24"/>
          <w:szCs w:val="24"/>
        </w:rPr>
        <w:t>拟定方法见标准正文，</w:t>
      </w:r>
      <w:bookmarkEnd w:id="7"/>
      <w:r>
        <w:rPr>
          <w:rFonts w:hint="eastAsia" w:cs="Times New Roman"/>
          <w:sz w:val="24"/>
          <w:szCs w:val="22"/>
        </w:rPr>
        <w:t>并对该方法进行了验证。</w:t>
      </w:r>
    </w:p>
    <w:p>
      <w:pPr>
        <w:widowControl w:val="0"/>
        <w:spacing w:line="360" w:lineRule="auto"/>
        <w:ind w:firstLine="480" w:firstLineChars="20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2.3.</w:t>
      </w:r>
      <w:r>
        <w:rPr>
          <w:rFonts w:ascii="Times New Roman" w:hAnsi="Times New Roman" w:eastAsia="宋体" w:cs="Times New Roman"/>
          <w:kern w:val="2"/>
          <w:sz w:val="24"/>
          <w:szCs w:val="24"/>
          <w:lang w:val="en-US" w:eastAsia="zh-CN" w:bidi="ar-SA"/>
        </w:rPr>
        <w:t>3.1色谱条件</w:t>
      </w:r>
      <w:r>
        <w:rPr>
          <w:rFonts w:hint="eastAsia" w:ascii="Times New Roman" w:hAnsi="Times New Roman" w:eastAsia="宋体" w:cs="Times New Roman"/>
          <w:kern w:val="2"/>
          <w:sz w:val="24"/>
          <w:szCs w:val="24"/>
          <w:lang w:val="en-US" w:eastAsia="zh-CN" w:bidi="ar-SA"/>
        </w:rPr>
        <w:t xml:space="preserve"> </w:t>
      </w:r>
      <w:r>
        <w:rPr>
          <w:rFonts w:ascii="Times New Roman" w:hAnsi="Times New Roman" w:eastAsia="宋体" w:cs="Times New Roman"/>
          <w:kern w:val="2"/>
          <w:sz w:val="24"/>
          <w:szCs w:val="24"/>
          <w:lang w:val="en-US" w:eastAsia="zh-CN" w:bidi="ar-SA"/>
        </w:rPr>
        <w:t xml:space="preserve"> </w:t>
      </w:r>
    </w:p>
    <w:p>
      <w:pPr>
        <w:widowControl w:val="0"/>
        <w:spacing w:line="360" w:lineRule="auto"/>
        <w:ind w:firstLine="480" w:firstLineChars="200"/>
        <w:jc w:val="both"/>
        <w:rPr>
          <w:rFonts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8"/>
          <w:lang w:val="en-US" w:eastAsia="zh-CN" w:bidi="ar-SA"/>
        </w:rPr>
        <w:t>柱温：25℃；以8.0mmol/L的NaOH作为淋洗液,流速1.0m</w:t>
      </w:r>
      <w:r>
        <w:rPr>
          <w:rFonts w:ascii="宋体" w:hAnsi="宋体" w:eastAsia="宋体" w:cs="宋体"/>
          <w:kern w:val="2"/>
          <w:sz w:val="24"/>
          <w:szCs w:val="28"/>
          <w:lang w:val="en-US" w:eastAsia="zh-CN" w:bidi="ar-SA"/>
        </w:rPr>
        <w:t>l</w:t>
      </w:r>
      <w:r>
        <w:rPr>
          <w:rFonts w:hint="eastAsia" w:ascii="宋体" w:hAnsi="宋体" w:eastAsia="宋体" w:cs="宋体"/>
          <w:kern w:val="2"/>
          <w:sz w:val="24"/>
          <w:szCs w:val="28"/>
          <w:lang w:val="en-US" w:eastAsia="zh-CN" w:bidi="ar-SA"/>
        </w:rPr>
        <w:t>/min；检测器为电导检测器，检测器温度30℃，抑制器：自动再生抑制模式，抑制电流20mA；进样量：25</w:t>
      </w:r>
      <w:r>
        <w:rPr>
          <w:rFonts w:hint="default" w:ascii="Times New Roman" w:hAnsi="Times New Roman" w:eastAsia="宋体" w:cs="Times New Roman"/>
          <w:kern w:val="2"/>
          <w:sz w:val="24"/>
          <w:szCs w:val="28"/>
          <w:lang w:val="en-US" w:eastAsia="zh-CN" w:bidi="ar-SA"/>
        </w:rPr>
        <w:t>μ</w:t>
      </w:r>
      <w:r>
        <w:rPr>
          <w:rFonts w:ascii="Times New Roman" w:hAnsi="Times New Roman" w:eastAsia="宋体" w:cs="Times New Roman"/>
          <w:kern w:val="2"/>
          <w:sz w:val="24"/>
          <w:szCs w:val="28"/>
          <w:lang w:val="en-US" w:eastAsia="zh-CN" w:bidi="ar-SA"/>
        </w:rPr>
        <w:t>l</w:t>
      </w:r>
      <w:r>
        <w:rPr>
          <w:rFonts w:hint="eastAsia" w:ascii="宋体" w:hAnsi="宋体" w:eastAsia="宋体" w:cs="宋体"/>
          <w:kern w:val="2"/>
          <w:sz w:val="24"/>
          <w:szCs w:val="28"/>
          <w:lang w:val="en-US" w:eastAsia="zh-CN" w:bidi="ar-SA"/>
        </w:rPr>
        <w:t>。</w:t>
      </w:r>
    </w:p>
    <w:p>
      <w:pPr>
        <w:widowControl w:val="0"/>
        <w:spacing w:line="360" w:lineRule="auto"/>
        <w:ind w:firstLine="480" w:firstLineChars="200"/>
        <w:jc w:val="both"/>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2.3.</w:t>
      </w:r>
      <w:r>
        <w:rPr>
          <w:rFonts w:ascii="Times New Roman" w:hAnsi="Times New Roman" w:eastAsia="宋体" w:cs="Times New Roman"/>
          <w:kern w:val="2"/>
          <w:sz w:val="24"/>
          <w:szCs w:val="24"/>
          <w:lang w:val="en-US" w:eastAsia="zh-CN" w:bidi="ar-SA"/>
        </w:rPr>
        <w:t>3.2溶液配制</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1</w:t>
      </w:r>
      <w:r>
        <w:rPr>
          <w:rFonts w:hint="eastAsia" w:ascii="Times New Roman" w:hAnsi="Times New Roman" w:cs="Times New Roman"/>
          <w:sz w:val="24"/>
          <w:szCs w:val="24"/>
        </w:rPr>
        <w:t>）</w:t>
      </w:r>
      <w:r>
        <w:rPr>
          <w:rFonts w:ascii="Times New Roman" w:hAnsi="Times New Roman" w:cs="Times New Roman"/>
          <w:sz w:val="24"/>
          <w:szCs w:val="24"/>
        </w:rPr>
        <w:t>系统适用性溶液：</w:t>
      </w:r>
      <w:r>
        <w:rPr>
          <w:rFonts w:hint="eastAsia" w:ascii="Times New Roman" w:hAnsi="Times New Roman" w:cs="Times New Roman"/>
          <w:sz w:val="24"/>
          <w:szCs w:val="24"/>
        </w:rPr>
        <w:t>精密</w:t>
      </w:r>
      <w:r>
        <w:rPr>
          <w:rFonts w:hint="eastAsia" w:ascii="Times New Roman" w:hAnsi="Times New Roman" w:cs="Times New Roman"/>
          <w:color w:val="auto"/>
          <w:sz w:val="24"/>
          <w:szCs w:val="24"/>
        </w:rPr>
        <w:t>称</w:t>
      </w:r>
      <w:r>
        <w:rPr>
          <w:rFonts w:hint="eastAsia" w:ascii="Times New Roman" w:hAnsi="Times New Roman" w:cs="Times New Roman"/>
          <w:sz w:val="24"/>
          <w:szCs w:val="24"/>
        </w:rPr>
        <w:t>取无水亚硫酸钠10mg，置10ml量瓶中，加溶剂溶解并稀释至刻度，摇匀作为亚硫酸钠储备液；精密</w:t>
      </w:r>
      <w:r>
        <w:rPr>
          <w:rFonts w:hint="eastAsia" w:ascii="Times New Roman" w:hAnsi="Times New Roman" w:cs="Times New Roman"/>
          <w:color w:val="auto"/>
          <w:sz w:val="24"/>
          <w:szCs w:val="24"/>
        </w:rPr>
        <w:t>称</w:t>
      </w:r>
      <w:r>
        <w:rPr>
          <w:rFonts w:hint="eastAsia" w:ascii="Times New Roman" w:hAnsi="Times New Roman" w:cs="Times New Roman"/>
          <w:sz w:val="24"/>
          <w:szCs w:val="24"/>
        </w:rPr>
        <w:t>取无水硫酸钠10mg，置10ml量瓶中，加溶剂溶解并稀释至刻度，摇匀作为硫酸钠储备液；分别精密量取亚硫酸钠储备液和硫酸钠储备液0.2ml，置同一个100ml量瓶中，加1%甲醛溶液稀释至刻度，摇匀即得</w:t>
      </w:r>
      <w:r>
        <w:rPr>
          <w:rFonts w:ascii="Times New Roman" w:hAnsi="Times New Roman" w:cs="Times New Roman"/>
          <w:sz w:val="24"/>
          <w:szCs w:val="24"/>
        </w:rPr>
        <w:t>。</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2</w:t>
      </w:r>
      <w:r>
        <w:rPr>
          <w:rFonts w:hint="eastAsia" w:ascii="Times New Roman" w:hAnsi="Times New Roman" w:cs="Times New Roman"/>
          <w:sz w:val="24"/>
          <w:szCs w:val="24"/>
        </w:rPr>
        <w:t>）</w:t>
      </w:r>
      <w:r>
        <w:rPr>
          <w:rFonts w:ascii="Times New Roman" w:hAnsi="Times New Roman" w:cs="Times New Roman"/>
          <w:sz w:val="24"/>
          <w:szCs w:val="24"/>
        </w:rPr>
        <w:t xml:space="preserve">供试品溶液  </w:t>
      </w:r>
      <w:r>
        <w:rPr>
          <w:rFonts w:hint="eastAsia" w:ascii="Times New Roman" w:hAnsi="Times New Roman" w:cs="Times New Roman"/>
          <w:sz w:val="24"/>
          <w:szCs w:val="24"/>
        </w:rPr>
        <w:t>取样品1g，精密称定，用1%甲醛溶液并定容至5ml。</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3</w:t>
      </w:r>
      <w:r>
        <w:rPr>
          <w:rFonts w:hint="eastAsia" w:ascii="Times New Roman" w:hAnsi="Times New Roman" w:cs="Times New Roman"/>
          <w:sz w:val="24"/>
          <w:szCs w:val="24"/>
        </w:rPr>
        <w:t>）线性系列溶液的制备：精密量取亚硫酸钠储备液1ml，置10ml量瓶中，加溶剂稀释至刻度，摇匀作为线性储备液；分别精密量取线性储备液0.025ml、0.05ml、0.1ml、0.2ml、0.4ml、0.5ml、1ml，分别置10ml量瓶中，加1%甲醛溶液稀释至刻度，摇匀作为线性1~7系列溶液。</w:t>
      </w:r>
    </w:p>
    <w:p>
      <w:pPr>
        <w:spacing w:line="360" w:lineRule="auto"/>
        <w:ind w:firstLine="480" w:firstLineChars="200"/>
        <w:rPr>
          <w:rFonts w:hint="eastAsia"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rPr>
        <w:t>4）精密度溶液：取线性</w:t>
      </w:r>
      <w:r>
        <w:rPr>
          <w:rFonts w:hint="eastAsia" w:ascii="Times New Roman" w:hAnsi="Times New Roman" w:cs="Times New Roman"/>
          <w:color w:val="auto"/>
          <w:sz w:val="24"/>
          <w:szCs w:val="24"/>
        </w:rPr>
        <w:t>4</w:t>
      </w:r>
      <w:r>
        <w:rPr>
          <w:rFonts w:hint="eastAsia" w:ascii="Times New Roman" w:hAnsi="Times New Roman" w:cs="Times New Roman"/>
          <w:sz w:val="24"/>
          <w:szCs w:val="24"/>
        </w:rPr>
        <w:t>溶液即得。</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rPr>
        <w:t>5）检出限和定量限</w:t>
      </w:r>
      <w:r>
        <w:rPr>
          <w:rFonts w:ascii="Times New Roman" w:hAnsi="Times New Roman" w:cs="Times New Roman"/>
          <w:sz w:val="24"/>
          <w:szCs w:val="24"/>
        </w:rPr>
        <w:t>溶液：</w:t>
      </w:r>
      <w:r>
        <w:rPr>
          <w:rFonts w:hint="eastAsia" w:ascii="Times New Roman" w:hAnsi="Times New Roman" w:cs="Times New Roman"/>
          <w:sz w:val="24"/>
          <w:szCs w:val="24"/>
        </w:rPr>
        <w:t>精密量取线性1溶液5ml，置10ml量瓶，加溶剂稀释至刻度，作为检测限溶液；取线性1作为定量限溶液</w:t>
      </w:r>
      <w:r>
        <w:rPr>
          <w:rFonts w:ascii="Times New Roman" w:hAnsi="Times New Roman" w:cs="Times New Roman"/>
          <w:sz w:val="24"/>
          <w:szCs w:val="24"/>
        </w:rPr>
        <w:t>。</w:t>
      </w:r>
    </w:p>
    <w:p>
      <w:pPr>
        <w:spacing w:line="360" w:lineRule="auto"/>
        <w:ind w:firstLine="480" w:firstLineChars="200"/>
        <w:rPr>
          <w:rFonts w:hint="eastAsia"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rPr>
        <w:t>6）回收系列溶液的制备：分别精密量取6份供试品1g，分别置5ml量瓶中，加1%甲醛溶液溶解，分别精密加入线性储备液0.1ml，加1%甲醛溶液稀释至刻度，摇匀作为回收1~6系列溶液。</w:t>
      </w:r>
    </w:p>
    <w:p>
      <w:pPr>
        <w:spacing w:line="360" w:lineRule="auto"/>
        <w:ind w:firstLine="480" w:firstLineChars="200"/>
        <w:rPr>
          <w:rFonts w:hint="eastAsia"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rPr>
        <w:t>7）样品稳定性溶液：</w:t>
      </w:r>
      <w:bookmarkStart w:id="8" w:name="_Hlk161351731"/>
      <w:r>
        <w:rPr>
          <w:rFonts w:hint="eastAsia" w:ascii="Times New Roman" w:hAnsi="Times New Roman" w:cs="Times New Roman"/>
          <w:sz w:val="24"/>
          <w:szCs w:val="24"/>
        </w:rPr>
        <w:t>即</w:t>
      </w:r>
      <w:bookmarkEnd w:id="8"/>
      <w:r>
        <w:rPr>
          <w:rFonts w:hint="eastAsia" w:ascii="Times New Roman" w:hAnsi="Times New Roman" w:cs="Times New Roman"/>
          <w:sz w:val="24"/>
          <w:szCs w:val="24"/>
        </w:rPr>
        <w:t>回收1溶液。</w:t>
      </w:r>
    </w:p>
    <w:p>
      <w:pPr>
        <w:widowControl w:val="0"/>
        <w:spacing w:line="360" w:lineRule="auto"/>
        <w:ind w:firstLine="480" w:firstLineChars="200"/>
        <w:jc w:val="both"/>
        <w:rPr>
          <w:rFonts w:ascii="宋体" w:hAnsi="宋体" w:eastAsia="宋体" w:cs="宋体"/>
          <w:kern w:val="2"/>
          <w:sz w:val="24"/>
          <w:szCs w:val="22"/>
          <w:highlight w:val="yellow"/>
          <w:lang w:val="en-US" w:eastAsia="zh-CN" w:bidi="ar-SA"/>
        </w:rPr>
      </w:pPr>
      <w:r>
        <w:rPr>
          <w:rFonts w:hint="eastAsia" w:ascii="Times New Roman" w:hAnsi="Times New Roman" w:eastAsia="宋体" w:cs="Times New Roman"/>
          <w:kern w:val="2"/>
          <w:sz w:val="24"/>
          <w:szCs w:val="24"/>
          <w:lang w:val="en-US" w:eastAsia="zh-CN" w:bidi="ar-SA"/>
        </w:rPr>
        <w:t>2.3.3.3</w:t>
      </w:r>
      <w:r>
        <w:rPr>
          <w:rFonts w:ascii="Times New Roman" w:hAnsi="Times New Roman" w:eastAsia="宋体" w:cs="Times New Roman"/>
          <w:kern w:val="2"/>
          <w:sz w:val="24"/>
          <w:szCs w:val="24"/>
          <w:lang w:val="en-US" w:eastAsia="zh-CN" w:bidi="ar-SA"/>
        </w:rPr>
        <w:t>系统适用性实验</w:t>
      </w:r>
      <w:r>
        <w:rPr>
          <w:rFonts w:hint="eastAsia" w:ascii="Times New Roman" w:hAnsi="Times New Roman" w:eastAsia="宋体" w:cs="Times New Roman"/>
          <w:kern w:val="2"/>
          <w:sz w:val="24"/>
          <w:szCs w:val="24"/>
          <w:lang w:val="en-US" w:eastAsia="zh-CN" w:bidi="ar-SA"/>
        </w:rPr>
        <w:t>结果</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系统适用性溶液中各组分色谱峰的保留时间</w:t>
      </w:r>
      <w:r>
        <w:rPr>
          <w:rFonts w:hint="eastAsia" w:ascii="Times New Roman" w:hAnsi="Times New Roman" w:cs="Times New Roman"/>
          <w:sz w:val="24"/>
          <w:szCs w:val="24"/>
        </w:rPr>
        <w:t>、理论塔板数</w:t>
      </w:r>
      <w:r>
        <w:rPr>
          <w:rFonts w:ascii="Times New Roman" w:hAnsi="Times New Roman" w:cs="Times New Roman"/>
          <w:sz w:val="24"/>
          <w:szCs w:val="24"/>
        </w:rPr>
        <w:t>及</w:t>
      </w:r>
      <w:r>
        <w:rPr>
          <w:rFonts w:hint="eastAsia" w:ascii="Times New Roman" w:hAnsi="Times New Roman" w:cs="Times New Roman"/>
          <w:sz w:val="24"/>
          <w:szCs w:val="24"/>
        </w:rPr>
        <w:t>分离度</w:t>
      </w:r>
      <w:r>
        <w:rPr>
          <w:rFonts w:ascii="Times New Roman" w:hAnsi="Times New Roman" w:cs="Times New Roman"/>
          <w:sz w:val="24"/>
          <w:szCs w:val="24"/>
        </w:rPr>
        <w:t>见表</w:t>
      </w:r>
      <w:r>
        <w:rPr>
          <w:rFonts w:hint="eastAsia" w:ascii="Times New Roman" w:hAnsi="Times New Roman" w:cs="Times New Roman"/>
          <w:sz w:val="24"/>
          <w:szCs w:val="24"/>
        </w:rPr>
        <w:t>4、图3～6</w:t>
      </w:r>
      <w:r>
        <w:rPr>
          <w:rFonts w:ascii="Times New Roman" w:hAnsi="Times New Roman" w:cs="Times New Roman"/>
          <w:sz w:val="24"/>
          <w:szCs w:val="24"/>
        </w:rPr>
        <w:t>。</w:t>
      </w:r>
    </w:p>
    <w:p>
      <w:pPr>
        <w:snapToGrid w:val="0"/>
        <w:spacing w:line="360" w:lineRule="auto"/>
        <w:jc w:val="center"/>
        <w:rPr>
          <w:rFonts w:ascii="宋体" w:hAnsi="宋体" w:cs="Times New Roman"/>
          <w:bCs/>
          <w:sz w:val="21"/>
          <w:szCs w:val="21"/>
        </w:rPr>
      </w:pPr>
      <w:r>
        <w:rPr>
          <w:rFonts w:ascii="宋体" w:hAnsi="宋体" w:cs="Times New Roman"/>
          <w:bCs/>
          <w:sz w:val="21"/>
          <w:szCs w:val="21"/>
        </w:rPr>
        <w:t>表</w:t>
      </w:r>
      <w:r>
        <w:rPr>
          <w:rFonts w:hint="eastAsia" w:ascii="宋体" w:hAnsi="宋体" w:cs="Times New Roman"/>
          <w:bCs/>
          <w:sz w:val="21"/>
          <w:szCs w:val="21"/>
        </w:rPr>
        <w:t>4</w:t>
      </w:r>
      <w:r>
        <w:rPr>
          <w:rFonts w:ascii="宋体" w:hAnsi="宋体" w:cs="Times New Roman"/>
          <w:bCs/>
          <w:sz w:val="21"/>
          <w:szCs w:val="21"/>
        </w:rPr>
        <w:t xml:space="preserve">  系统适用性实验结果</w:t>
      </w:r>
    </w:p>
    <w:tbl>
      <w:tblPr>
        <w:tblStyle w:val="2"/>
        <w:tblW w:w="46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2133"/>
        <w:gridCol w:w="1791"/>
        <w:gridCol w:w="1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noWrap w:val="0"/>
            <w:vAlign w:val="top"/>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组分名称</w:t>
            </w:r>
          </w:p>
        </w:tc>
        <w:tc>
          <w:tcPr>
            <w:tcW w:w="2133" w:type="dxa"/>
            <w:noWrap w:val="0"/>
            <w:vAlign w:val="top"/>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保留时间（min）</w:t>
            </w:r>
          </w:p>
        </w:tc>
        <w:tc>
          <w:tcPr>
            <w:tcW w:w="1791" w:type="dxa"/>
            <w:noWrap w:val="0"/>
            <w:vAlign w:val="top"/>
          </w:tcPr>
          <w:p>
            <w:pPr>
              <w:spacing w:line="360" w:lineRule="auto"/>
              <w:jc w:val="center"/>
              <w:rPr>
                <w:rFonts w:hint="eastAsia" w:ascii="Times New Roman" w:hAnsi="Times New Roman" w:cs="Times New Roman"/>
                <w:sz w:val="21"/>
                <w:szCs w:val="21"/>
              </w:rPr>
            </w:pPr>
            <w:r>
              <w:rPr>
                <w:rFonts w:hint="eastAsia" w:ascii="Times New Roman" w:hAnsi="Times New Roman" w:cs="Times New Roman"/>
                <w:sz w:val="21"/>
                <w:szCs w:val="21"/>
              </w:rPr>
              <w:t>理论塔板数</w:t>
            </w:r>
          </w:p>
        </w:tc>
        <w:tc>
          <w:tcPr>
            <w:tcW w:w="1791" w:type="dxa"/>
            <w:noWrap w:val="0"/>
            <w:vAlign w:val="top"/>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分离度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noWrap w:val="0"/>
            <w:vAlign w:val="top"/>
          </w:tcPr>
          <w:p>
            <w:pPr>
              <w:spacing w:line="360" w:lineRule="auto"/>
              <w:jc w:val="center"/>
              <w:rPr>
                <w:rFonts w:hint="eastAsia" w:ascii="Times New Roman" w:hAnsi="Times New Roman" w:cs="Times New Roman"/>
                <w:sz w:val="21"/>
                <w:szCs w:val="21"/>
              </w:rPr>
            </w:pPr>
            <w:r>
              <w:rPr>
                <w:rFonts w:hint="eastAsia" w:ascii="Times New Roman" w:hAnsi="Times New Roman" w:cs="Times New Roman"/>
                <w:sz w:val="21"/>
                <w:szCs w:val="21"/>
              </w:rPr>
              <w:t>亚硫酸根</w:t>
            </w:r>
          </w:p>
        </w:tc>
        <w:tc>
          <w:tcPr>
            <w:tcW w:w="2133" w:type="dxa"/>
            <w:noWrap w:val="0"/>
            <w:vAlign w:val="top"/>
          </w:tcPr>
          <w:p>
            <w:pPr>
              <w:spacing w:line="360" w:lineRule="auto"/>
              <w:jc w:val="center"/>
              <w:rPr>
                <w:rFonts w:ascii="Times New Roman" w:hAnsi="Times New Roman" w:cs="Times New Roman"/>
                <w:sz w:val="21"/>
                <w:szCs w:val="21"/>
              </w:rPr>
            </w:pPr>
            <w:r>
              <w:rPr>
                <w:rFonts w:hint="eastAsia" w:ascii="Times New Roman" w:hAnsi="Times New Roman" w:cs="Times New Roman"/>
                <w:sz w:val="21"/>
                <w:szCs w:val="21"/>
              </w:rPr>
              <w:t>23.270</w:t>
            </w:r>
          </w:p>
        </w:tc>
        <w:tc>
          <w:tcPr>
            <w:tcW w:w="1791" w:type="dxa"/>
            <w:noWrap w:val="0"/>
            <w:vAlign w:val="top"/>
          </w:tcPr>
          <w:p>
            <w:pPr>
              <w:spacing w:line="360" w:lineRule="auto"/>
              <w:jc w:val="center"/>
              <w:rPr>
                <w:rFonts w:ascii="Times New Roman" w:hAnsi="Times New Roman" w:cs="Times New Roman"/>
                <w:sz w:val="21"/>
                <w:szCs w:val="21"/>
              </w:rPr>
            </w:pPr>
            <w:r>
              <w:rPr>
                <w:rFonts w:hint="eastAsia" w:ascii="Times New Roman" w:hAnsi="Times New Roman" w:cs="Times New Roman"/>
                <w:sz w:val="21"/>
                <w:szCs w:val="21"/>
              </w:rPr>
              <w:t>6149</w:t>
            </w:r>
          </w:p>
        </w:tc>
        <w:tc>
          <w:tcPr>
            <w:tcW w:w="1791" w:type="dxa"/>
            <w:noWrap w:val="0"/>
            <w:vAlign w:val="top"/>
          </w:tcPr>
          <w:p>
            <w:pPr>
              <w:spacing w:line="360" w:lineRule="auto"/>
              <w:jc w:val="center"/>
              <w:rPr>
                <w:rFonts w:hint="eastAsia" w:ascii="Times New Roman" w:hAnsi="Times New Roman" w:cs="Times New Roman"/>
                <w:sz w:val="21"/>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noWrap w:val="0"/>
            <w:vAlign w:val="top"/>
          </w:tcPr>
          <w:p>
            <w:pPr>
              <w:spacing w:line="360" w:lineRule="auto"/>
              <w:jc w:val="center"/>
              <w:rPr>
                <w:rFonts w:ascii="Times New Roman" w:hAnsi="Times New Roman" w:cs="Times New Roman"/>
                <w:sz w:val="21"/>
                <w:szCs w:val="21"/>
              </w:rPr>
            </w:pPr>
            <w:r>
              <w:rPr>
                <w:rFonts w:hint="eastAsia" w:ascii="Times New Roman" w:hAnsi="Times New Roman" w:cs="Times New Roman"/>
                <w:sz w:val="21"/>
                <w:szCs w:val="21"/>
              </w:rPr>
              <w:t>硫酸根</w:t>
            </w:r>
          </w:p>
        </w:tc>
        <w:tc>
          <w:tcPr>
            <w:tcW w:w="2133" w:type="dxa"/>
            <w:noWrap w:val="0"/>
            <w:vAlign w:val="top"/>
          </w:tcPr>
          <w:p>
            <w:pPr>
              <w:spacing w:line="360" w:lineRule="auto"/>
              <w:jc w:val="center"/>
              <w:rPr>
                <w:rFonts w:ascii="Times New Roman" w:hAnsi="Times New Roman" w:cs="Times New Roman"/>
                <w:sz w:val="21"/>
                <w:szCs w:val="21"/>
              </w:rPr>
            </w:pPr>
            <w:r>
              <w:rPr>
                <w:rFonts w:hint="eastAsia" w:ascii="Times New Roman" w:hAnsi="Times New Roman" w:cs="Times New Roman"/>
                <w:sz w:val="21"/>
                <w:szCs w:val="21"/>
              </w:rPr>
              <w:t>25.973</w:t>
            </w:r>
          </w:p>
        </w:tc>
        <w:tc>
          <w:tcPr>
            <w:tcW w:w="1791" w:type="dxa"/>
            <w:noWrap w:val="0"/>
            <w:vAlign w:val="top"/>
          </w:tcPr>
          <w:p>
            <w:pPr>
              <w:spacing w:line="360" w:lineRule="auto"/>
              <w:jc w:val="center"/>
              <w:rPr>
                <w:rFonts w:ascii="Times New Roman" w:hAnsi="Times New Roman" w:cs="Times New Roman"/>
                <w:sz w:val="21"/>
                <w:szCs w:val="21"/>
              </w:rPr>
            </w:pPr>
            <w:r>
              <w:rPr>
                <w:rFonts w:hint="eastAsia" w:ascii="Times New Roman" w:hAnsi="Times New Roman" w:cs="Times New Roman"/>
                <w:sz w:val="21"/>
                <w:szCs w:val="21"/>
              </w:rPr>
              <w:t>6924</w:t>
            </w:r>
          </w:p>
        </w:tc>
        <w:tc>
          <w:tcPr>
            <w:tcW w:w="1791" w:type="dxa"/>
            <w:noWrap w:val="0"/>
            <w:vAlign w:val="top"/>
          </w:tcPr>
          <w:p>
            <w:pPr>
              <w:spacing w:line="360" w:lineRule="auto"/>
              <w:jc w:val="center"/>
              <w:rPr>
                <w:rFonts w:ascii="Times New Roman" w:hAnsi="Times New Roman" w:cs="Times New Roman"/>
                <w:sz w:val="21"/>
                <w:szCs w:val="21"/>
              </w:rPr>
            </w:pPr>
            <w:r>
              <w:rPr>
                <w:rFonts w:hint="eastAsia" w:ascii="Times New Roman" w:hAnsi="Times New Roman" w:cs="Times New Roman"/>
                <w:sz w:val="21"/>
                <w:szCs w:val="21"/>
              </w:rPr>
              <w:t>2.2</w:t>
            </w:r>
          </w:p>
        </w:tc>
      </w:tr>
    </w:tbl>
    <w:p>
      <w:pPr>
        <w:spacing w:line="360" w:lineRule="auto"/>
        <w:rPr>
          <w:rFonts w:ascii="Times New Roman" w:hAnsi="Times New Roman" w:cs="Times New Roman"/>
          <w:sz w:val="24"/>
          <w:szCs w:val="24"/>
        </w:rPr>
      </w:pPr>
    </w:p>
    <w:p>
      <w:pPr>
        <w:snapToGrid w:val="0"/>
        <w:spacing w:line="360" w:lineRule="auto"/>
        <w:ind w:firstLineChars="0"/>
        <w:jc w:val="center"/>
        <w:rPr>
          <w:rFonts w:hint="eastAsia" w:ascii="宋体" w:hAnsi="宋体" w:cs="Times New Roman"/>
          <w:bCs/>
          <w:sz w:val="21"/>
          <w:szCs w:val="21"/>
        </w:rPr>
      </w:pPr>
      <w:r>
        <w:rPr>
          <w:rFonts w:ascii="宋体" w:hAnsi="宋体" w:cs="Times New Roman"/>
          <w:bCs/>
          <w:szCs w:val="21"/>
        </w:rPr>
        <w:drawing>
          <wp:inline distT="0" distB="0" distL="114300" distR="114300">
            <wp:extent cx="5039995" cy="2519680"/>
            <wp:effectExtent l="0" t="0" r="8255" b="13970"/>
            <wp:docPr id="20" name="图片 17"/>
            <wp:cNvGraphicFramePr/>
            <a:graphic xmlns:a="http://schemas.openxmlformats.org/drawingml/2006/main">
              <a:graphicData uri="http://schemas.openxmlformats.org/drawingml/2006/picture">
                <pic:pic xmlns:pic="http://schemas.openxmlformats.org/drawingml/2006/picture">
                  <pic:nvPicPr>
                    <pic:cNvPr id="20" name="图片 17"/>
                    <pic:cNvPicPr/>
                  </pic:nvPicPr>
                  <pic:blipFill>
                    <a:blip r:embed="rId6"/>
                    <a:stretch>
                      <a:fillRect/>
                    </a:stretch>
                  </pic:blipFill>
                  <pic:spPr>
                    <a:xfrm>
                      <a:off x="0" y="0"/>
                      <a:ext cx="5039995" cy="2519680"/>
                    </a:xfrm>
                    <a:prstGeom prst="rect">
                      <a:avLst/>
                    </a:prstGeom>
                    <a:noFill/>
                    <a:ln>
                      <a:noFill/>
                    </a:ln>
                  </pic:spPr>
                </pic:pic>
              </a:graphicData>
            </a:graphic>
          </wp:inline>
        </w:drawing>
      </w:r>
    </w:p>
    <w:p>
      <w:pPr>
        <w:snapToGrid w:val="0"/>
        <w:spacing w:line="360" w:lineRule="auto"/>
        <w:ind w:firstLineChars="0"/>
        <w:jc w:val="center"/>
        <w:rPr>
          <w:rFonts w:hint="eastAsia" w:ascii="宋体" w:hAnsi="宋体" w:cs="Times New Roman"/>
          <w:bCs/>
          <w:sz w:val="21"/>
          <w:szCs w:val="21"/>
        </w:rPr>
      </w:pPr>
      <w:bookmarkStart w:id="9" w:name="_Hlk161351803"/>
      <w:r>
        <w:rPr>
          <w:rFonts w:hint="eastAsia" w:ascii="宋体" w:hAnsi="宋体" w:cs="Times New Roman"/>
          <w:bCs/>
          <w:szCs w:val="21"/>
        </w:rPr>
        <w:t>图</w:t>
      </w:r>
      <w:r>
        <w:rPr>
          <w:rFonts w:ascii="宋体" w:hAnsi="宋体" w:cs="Times New Roman"/>
          <w:bCs/>
          <w:szCs w:val="21"/>
        </w:rPr>
        <w:t>3</w:t>
      </w:r>
      <w:r>
        <w:rPr>
          <w:rFonts w:hint="eastAsia" w:ascii="宋体" w:hAnsi="宋体" w:cs="Times New Roman"/>
          <w:bCs/>
          <w:szCs w:val="21"/>
        </w:rPr>
        <w:t xml:space="preserve"> </w:t>
      </w:r>
      <w:r>
        <w:rPr>
          <w:rFonts w:ascii="宋体" w:hAnsi="宋体" w:cs="Times New Roman"/>
          <w:bCs/>
          <w:szCs w:val="21"/>
        </w:rPr>
        <w:t xml:space="preserve"> </w:t>
      </w:r>
      <w:bookmarkEnd w:id="9"/>
      <w:bookmarkStart w:id="10" w:name="_Hlk161351796"/>
      <w:r>
        <w:rPr>
          <w:rFonts w:hint="eastAsia" w:ascii="宋体" w:hAnsi="宋体" w:cs="Times New Roman"/>
          <w:bCs/>
          <w:szCs w:val="21"/>
        </w:rPr>
        <w:t>空白溶剂（1%甲醛）图谱</w:t>
      </w:r>
      <w:bookmarkEnd w:id="10"/>
    </w:p>
    <w:p>
      <w:pPr>
        <w:snapToGrid w:val="0"/>
        <w:spacing w:line="360" w:lineRule="auto"/>
        <w:ind w:firstLineChars="0"/>
        <w:jc w:val="center"/>
        <w:rPr>
          <w:rFonts w:hint="eastAsia" w:ascii="宋体" w:hAnsi="宋体" w:cs="Times New Roman"/>
          <w:bCs/>
          <w:sz w:val="21"/>
          <w:szCs w:val="21"/>
        </w:rPr>
      </w:pPr>
      <w:r>
        <w:rPr>
          <w:rFonts w:ascii="宋体" w:hAnsi="宋体" w:cs="Times New Roman"/>
          <w:bCs/>
          <w:szCs w:val="21"/>
        </w:rPr>
        <w:drawing>
          <wp:inline distT="0" distB="0" distL="114300" distR="114300">
            <wp:extent cx="5039995" cy="2519680"/>
            <wp:effectExtent l="0" t="0" r="8255" b="13970"/>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7"/>
                    <a:stretch>
                      <a:fillRect/>
                    </a:stretch>
                  </pic:blipFill>
                  <pic:spPr>
                    <a:xfrm>
                      <a:off x="0" y="0"/>
                      <a:ext cx="5039995" cy="2519680"/>
                    </a:xfrm>
                    <a:prstGeom prst="rect">
                      <a:avLst/>
                    </a:prstGeom>
                    <a:noFill/>
                    <a:ln>
                      <a:noFill/>
                    </a:ln>
                  </pic:spPr>
                </pic:pic>
              </a:graphicData>
            </a:graphic>
          </wp:inline>
        </w:drawing>
      </w:r>
    </w:p>
    <w:p>
      <w:pPr>
        <w:snapToGrid w:val="0"/>
        <w:spacing w:line="360" w:lineRule="auto"/>
        <w:ind w:firstLineChars="0"/>
        <w:jc w:val="center"/>
        <w:rPr>
          <w:rFonts w:hint="eastAsia" w:ascii="宋体" w:hAnsi="宋体" w:cs="Times New Roman"/>
          <w:bCs/>
          <w:sz w:val="21"/>
          <w:szCs w:val="21"/>
        </w:rPr>
      </w:pPr>
      <w:bookmarkStart w:id="11" w:name="_Hlk161351831"/>
      <w:r>
        <w:rPr>
          <w:rFonts w:hint="eastAsia" w:ascii="宋体" w:hAnsi="宋体" w:cs="Times New Roman"/>
          <w:bCs/>
          <w:szCs w:val="21"/>
        </w:rPr>
        <w:t>图</w:t>
      </w:r>
      <w:r>
        <w:rPr>
          <w:rFonts w:ascii="宋体" w:hAnsi="宋体" w:cs="Times New Roman"/>
          <w:bCs/>
          <w:szCs w:val="21"/>
        </w:rPr>
        <w:t xml:space="preserve">4  </w:t>
      </w:r>
      <w:r>
        <w:rPr>
          <w:rFonts w:hint="eastAsia" w:ascii="宋体" w:hAnsi="宋体" w:cs="Times New Roman"/>
          <w:bCs/>
          <w:sz w:val="21"/>
          <w:szCs w:val="21"/>
        </w:rPr>
        <w:t>亚硫酸钠</w:t>
      </w:r>
      <w:r>
        <w:rPr>
          <w:rFonts w:hint="eastAsia" w:ascii="宋体" w:hAnsi="宋体" w:cs="Times New Roman"/>
          <w:bCs/>
          <w:szCs w:val="21"/>
        </w:rPr>
        <w:t>对照图谱</w:t>
      </w:r>
      <w:bookmarkEnd w:id="11"/>
    </w:p>
    <w:p>
      <w:pPr>
        <w:snapToGrid w:val="0"/>
        <w:spacing w:line="360" w:lineRule="auto"/>
        <w:ind w:firstLineChars="0"/>
        <w:jc w:val="center"/>
        <w:rPr>
          <w:rFonts w:hint="eastAsia" w:ascii="宋体" w:hAnsi="宋体" w:cs="Times New Roman"/>
          <w:bCs/>
          <w:sz w:val="21"/>
          <w:szCs w:val="21"/>
        </w:rPr>
      </w:pPr>
      <w:r>
        <w:rPr>
          <w:rFonts w:ascii="宋体" w:hAnsi="宋体" w:cs="Times New Roman"/>
          <w:bCs/>
          <w:szCs w:val="21"/>
        </w:rPr>
        <w:drawing>
          <wp:inline distT="0" distB="0" distL="114300" distR="114300">
            <wp:extent cx="5039995" cy="2519680"/>
            <wp:effectExtent l="0" t="0" r="8255" b="13970"/>
            <wp:docPr id="16" name="图片 19"/>
            <wp:cNvGraphicFramePr/>
            <a:graphic xmlns:a="http://schemas.openxmlformats.org/drawingml/2006/main">
              <a:graphicData uri="http://schemas.openxmlformats.org/drawingml/2006/picture">
                <pic:pic xmlns:pic="http://schemas.openxmlformats.org/drawingml/2006/picture">
                  <pic:nvPicPr>
                    <pic:cNvPr id="16" name="图片 19"/>
                    <pic:cNvPicPr/>
                  </pic:nvPicPr>
                  <pic:blipFill>
                    <a:blip r:embed="rId8"/>
                    <a:stretch>
                      <a:fillRect/>
                    </a:stretch>
                  </pic:blipFill>
                  <pic:spPr>
                    <a:xfrm>
                      <a:off x="0" y="0"/>
                      <a:ext cx="5039995" cy="2519680"/>
                    </a:xfrm>
                    <a:prstGeom prst="rect">
                      <a:avLst/>
                    </a:prstGeom>
                    <a:noFill/>
                    <a:ln>
                      <a:noFill/>
                    </a:ln>
                  </pic:spPr>
                </pic:pic>
              </a:graphicData>
            </a:graphic>
          </wp:inline>
        </w:drawing>
      </w:r>
    </w:p>
    <w:p>
      <w:pPr>
        <w:snapToGrid w:val="0"/>
        <w:spacing w:line="360" w:lineRule="auto"/>
        <w:jc w:val="center"/>
        <w:rPr>
          <w:rFonts w:ascii="宋体" w:hAnsi="宋体" w:cs="Times New Roman"/>
          <w:bCs/>
          <w:szCs w:val="21"/>
        </w:rPr>
      </w:pPr>
      <w:bookmarkStart w:id="12" w:name="_Hlk161351840"/>
      <w:r>
        <w:rPr>
          <w:rFonts w:hint="eastAsia" w:ascii="宋体" w:hAnsi="宋体" w:cs="Times New Roman"/>
          <w:bCs/>
          <w:sz w:val="21"/>
          <w:szCs w:val="21"/>
        </w:rPr>
        <w:t>图</w:t>
      </w:r>
      <w:r>
        <w:rPr>
          <w:rFonts w:ascii="宋体" w:hAnsi="宋体" w:cs="Times New Roman"/>
          <w:bCs/>
          <w:szCs w:val="21"/>
        </w:rPr>
        <w:t>5</w:t>
      </w:r>
      <w:r>
        <w:rPr>
          <w:rFonts w:hint="eastAsia" w:ascii="宋体" w:hAnsi="宋体" w:cs="Times New Roman"/>
          <w:bCs/>
          <w:sz w:val="21"/>
          <w:szCs w:val="21"/>
        </w:rPr>
        <w:t xml:space="preserve"> </w:t>
      </w:r>
      <w:r>
        <w:rPr>
          <w:rFonts w:ascii="宋体" w:hAnsi="宋体" w:cs="Times New Roman"/>
          <w:bCs/>
          <w:szCs w:val="21"/>
        </w:rPr>
        <w:t xml:space="preserve"> </w:t>
      </w:r>
      <w:r>
        <w:rPr>
          <w:rFonts w:hint="eastAsia" w:ascii="宋体" w:hAnsi="宋体" w:cs="Times New Roman"/>
          <w:bCs/>
          <w:sz w:val="21"/>
          <w:szCs w:val="21"/>
        </w:rPr>
        <w:t>硫酸钠</w:t>
      </w:r>
      <w:r>
        <w:rPr>
          <w:rFonts w:hint="eastAsia" w:ascii="宋体" w:hAnsi="宋体" w:cs="Times New Roman"/>
          <w:bCs/>
          <w:szCs w:val="21"/>
        </w:rPr>
        <w:t>对照图谱</w:t>
      </w:r>
      <w:bookmarkEnd w:id="12"/>
    </w:p>
    <w:p>
      <w:pPr>
        <w:snapToGrid w:val="0"/>
        <w:spacing w:line="360" w:lineRule="auto"/>
        <w:jc w:val="center"/>
        <w:rPr>
          <w:rFonts w:ascii="宋体" w:hAnsi="宋体" w:cs="Times New Roman"/>
          <w:bCs/>
          <w:szCs w:val="21"/>
        </w:rPr>
      </w:pPr>
      <w:bookmarkStart w:id="13" w:name="_Hlk161351852"/>
      <w:r>
        <w:rPr>
          <w:rFonts w:ascii="宋体" w:hAnsi="宋体" w:cs="Times New Roman"/>
          <w:bCs/>
          <w:szCs w:val="21"/>
        </w:rPr>
        <w:drawing>
          <wp:inline distT="0" distB="0" distL="114300" distR="114300">
            <wp:extent cx="5039995" cy="2519680"/>
            <wp:effectExtent l="0" t="0" r="8255" b="13970"/>
            <wp:docPr id="17" name="图片 20"/>
            <wp:cNvGraphicFramePr/>
            <a:graphic xmlns:a="http://schemas.openxmlformats.org/drawingml/2006/main">
              <a:graphicData uri="http://schemas.openxmlformats.org/drawingml/2006/picture">
                <pic:pic xmlns:pic="http://schemas.openxmlformats.org/drawingml/2006/picture">
                  <pic:nvPicPr>
                    <pic:cNvPr id="17" name="图片 20"/>
                    <pic:cNvPicPr/>
                  </pic:nvPicPr>
                  <pic:blipFill>
                    <a:blip r:embed="rId9"/>
                    <a:stretch>
                      <a:fillRect/>
                    </a:stretch>
                  </pic:blipFill>
                  <pic:spPr>
                    <a:xfrm>
                      <a:off x="0" y="0"/>
                      <a:ext cx="5039995" cy="2519680"/>
                    </a:xfrm>
                    <a:prstGeom prst="rect">
                      <a:avLst/>
                    </a:prstGeom>
                    <a:noFill/>
                    <a:ln>
                      <a:noFill/>
                    </a:ln>
                  </pic:spPr>
                </pic:pic>
              </a:graphicData>
            </a:graphic>
          </wp:inline>
        </w:drawing>
      </w:r>
    </w:p>
    <w:p>
      <w:pPr>
        <w:snapToGrid w:val="0"/>
        <w:spacing w:line="360" w:lineRule="auto"/>
        <w:jc w:val="center"/>
        <w:rPr>
          <w:rFonts w:hint="eastAsia" w:ascii="宋体" w:hAnsi="宋体" w:cs="Times New Roman"/>
          <w:bCs/>
          <w:szCs w:val="21"/>
        </w:rPr>
      </w:pPr>
      <w:r>
        <w:rPr>
          <w:rFonts w:hint="eastAsia" w:ascii="宋体" w:hAnsi="宋体" w:cs="Times New Roman"/>
          <w:bCs/>
          <w:szCs w:val="21"/>
        </w:rPr>
        <w:t>图</w:t>
      </w:r>
      <w:r>
        <w:rPr>
          <w:rFonts w:ascii="宋体" w:hAnsi="宋体" w:cs="Times New Roman"/>
          <w:bCs/>
          <w:szCs w:val="21"/>
        </w:rPr>
        <w:t xml:space="preserve">6 </w:t>
      </w:r>
      <w:r>
        <w:rPr>
          <w:rFonts w:hint="eastAsia" w:ascii="宋体" w:hAnsi="宋体" w:cs="Times New Roman"/>
          <w:bCs/>
          <w:szCs w:val="21"/>
        </w:rPr>
        <w:t xml:space="preserve"> </w:t>
      </w:r>
      <w:r>
        <w:rPr>
          <w:rFonts w:ascii="宋体" w:hAnsi="宋体" w:cs="Times New Roman"/>
          <w:bCs/>
          <w:szCs w:val="21"/>
        </w:rPr>
        <w:t>系统适用性</w:t>
      </w:r>
      <w:r>
        <w:rPr>
          <w:rFonts w:hint="eastAsia" w:ascii="宋体" w:hAnsi="宋体" w:cs="Times New Roman"/>
          <w:bCs/>
          <w:szCs w:val="21"/>
        </w:rPr>
        <w:t>图谱</w:t>
      </w:r>
    </w:p>
    <w:bookmarkEnd w:id="13"/>
    <w:p>
      <w:pPr>
        <w:snapToGrid w:val="0"/>
        <w:spacing w:line="360" w:lineRule="auto"/>
        <w:ind w:firstLineChars="0"/>
        <w:jc w:val="center"/>
        <w:rPr>
          <w:rFonts w:hint="eastAsia" w:ascii="宋体" w:hAnsi="宋体" w:cs="Times New Roman"/>
          <w:bCs/>
          <w:sz w:val="21"/>
          <w:szCs w:val="21"/>
        </w:rPr>
      </w:pPr>
    </w:p>
    <w:p>
      <w:pPr>
        <w:widowControl w:val="0"/>
        <w:spacing w:line="360" w:lineRule="auto"/>
        <w:ind w:firstLine="480" w:firstLineChars="20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2.3.3.4</w:t>
      </w:r>
      <w:r>
        <w:rPr>
          <w:rFonts w:ascii="Times New Roman" w:hAnsi="Times New Roman" w:eastAsia="宋体" w:cs="Times New Roman"/>
          <w:kern w:val="2"/>
          <w:sz w:val="24"/>
          <w:szCs w:val="24"/>
          <w:lang w:val="en-US" w:eastAsia="zh-CN" w:bidi="ar-SA"/>
        </w:rPr>
        <w:t>线性</w:t>
      </w:r>
      <w:r>
        <w:rPr>
          <w:rFonts w:hint="eastAsia" w:ascii="Times New Roman" w:hAnsi="Times New Roman" w:eastAsia="宋体" w:cs="Times New Roman"/>
          <w:kern w:val="2"/>
          <w:sz w:val="24"/>
          <w:szCs w:val="24"/>
          <w:lang w:val="en-US" w:eastAsia="zh-CN" w:bidi="ar-SA"/>
        </w:rPr>
        <w:t>试验</w:t>
      </w:r>
      <w:r>
        <w:rPr>
          <w:rFonts w:ascii="Times New Roman" w:hAnsi="Times New Roman" w:eastAsia="宋体" w:cs="Times New Roman"/>
          <w:kern w:val="2"/>
          <w:sz w:val="24"/>
          <w:szCs w:val="24"/>
          <w:lang w:val="en-US" w:eastAsia="zh-CN" w:bidi="ar-SA"/>
        </w:rPr>
        <w:t>结果</w:t>
      </w:r>
    </w:p>
    <w:p>
      <w:pPr>
        <w:widowControl w:val="0"/>
        <w:spacing w:line="360" w:lineRule="auto"/>
        <w:ind w:firstLine="480" w:firstLineChars="20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以浓度为横坐标，峰面积为纵坐标绘制曲线，亚硫酸根在0.1385</w:t>
      </w:r>
      <w:r>
        <w:rPr>
          <w:rFonts w:ascii="Times New Roman" w:hAnsi="Times New Roman" w:eastAsia="宋体" w:cs="Times New Roman"/>
          <w:kern w:val="2"/>
          <w:sz w:val="21"/>
          <w:szCs w:val="21"/>
          <w:lang w:val="en-US" w:eastAsia="zh-CN" w:bidi="ar-SA"/>
        </w:rPr>
        <w:t>μ</w:t>
      </w:r>
      <w:r>
        <w:rPr>
          <w:rFonts w:hint="eastAsia" w:ascii="Times New Roman" w:hAnsi="Times New Roman" w:eastAsia="宋体" w:cs="Times New Roman"/>
          <w:kern w:val="2"/>
          <w:sz w:val="24"/>
          <w:szCs w:val="24"/>
          <w:lang w:val="en-US" w:eastAsia="zh-CN" w:bidi="ar-SA"/>
        </w:rPr>
        <w:t>g/ml～5</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35385</w:t>
      </w:r>
      <w:r>
        <w:rPr>
          <w:rFonts w:ascii="Times New Roman" w:hAnsi="Times New Roman" w:eastAsia="宋体" w:cs="Times New Roman"/>
          <w:kern w:val="2"/>
          <w:sz w:val="21"/>
          <w:szCs w:val="21"/>
          <w:lang w:val="en-US" w:eastAsia="zh-CN" w:bidi="ar-SA"/>
        </w:rPr>
        <w:t>μ</w:t>
      </w:r>
      <w:r>
        <w:rPr>
          <w:rFonts w:hint="eastAsia" w:ascii="Times New Roman" w:hAnsi="Times New Roman" w:eastAsia="宋体" w:cs="Times New Roman"/>
          <w:kern w:val="2"/>
          <w:sz w:val="24"/>
          <w:szCs w:val="24"/>
          <w:lang w:val="en-US" w:eastAsia="zh-CN" w:bidi="ar-SA"/>
        </w:rPr>
        <w:t>g/ml浓度范围内，线性方程为y=0.0409x-0.0052，r=0.9991，线性关系良好。</w:t>
      </w:r>
    </w:p>
    <w:p>
      <w:pPr>
        <w:spacing w:line="360" w:lineRule="auto"/>
        <w:jc w:val="center"/>
        <w:rPr>
          <w:rFonts w:ascii="Times New Roman" w:hAnsi="Times New Roman" w:cs="Times New Roman"/>
          <w:sz w:val="24"/>
          <w:szCs w:val="24"/>
        </w:rPr>
      </w:pPr>
      <w:r>
        <w:rPr>
          <w:rFonts w:cs="Times New Roman"/>
          <w:szCs w:val="22"/>
        </w:rPr>
        <w:drawing>
          <wp:inline distT="0" distB="0" distL="114300" distR="114300">
            <wp:extent cx="2887345" cy="2275205"/>
            <wp:effectExtent l="0" t="0" r="8255"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0"/>
                    <a:stretch>
                      <a:fillRect/>
                    </a:stretch>
                  </pic:blipFill>
                  <pic:spPr>
                    <a:xfrm>
                      <a:off x="0" y="0"/>
                      <a:ext cx="2887345" cy="2275205"/>
                    </a:xfrm>
                    <a:prstGeom prst="rect">
                      <a:avLst/>
                    </a:prstGeom>
                    <a:noFill/>
                    <a:ln>
                      <a:noFill/>
                    </a:ln>
                  </pic:spPr>
                </pic:pic>
              </a:graphicData>
            </a:graphic>
          </wp:inline>
        </w:drawing>
      </w:r>
    </w:p>
    <w:p>
      <w:pPr>
        <w:snapToGrid w:val="0"/>
        <w:spacing w:line="360" w:lineRule="auto"/>
        <w:jc w:val="center"/>
        <w:rPr>
          <w:rFonts w:ascii="Times New Roman" w:hAnsi="Times New Roman" w:cs="Times New Roman"/>
          <w:sz w:val="24"/>
          <w:szCs w:val="24"/>
        </w:rPr>
      </w:pPr>
      <w:r>
        <w:rPr>
          <w:rFonts w:ascii="宋体" w:hAnsi="宋体" w:cs="Times New Roman"/>
          <w:bCs/>
          <w:sz w:val="21"/>
          <w:szCs w:val="21"/>
        </w:rPr>
        <w:t>图</w:t>
      </w:r>
      <w:r>
        <w:rPr>
          <w:rFonts w:hint="eastAsia" w:ascii="宋体" w:hAnsi="宋体" w:cs="Times New Roman"/>
          <w:bCs/>
          <w:sz w:val="21"/>
          <w:szCs w:val="21"/>
        </w:rPr>
        <w:t>7</w:t>
      </w:r>
      <w:r>
        <w:rPr>
          <w:rFonts w:ascii="宋体" w:hAnsi="宋体" w:cs="Times New Roman"/>
          <w:bCs/>
          <w:szCs w:val="21"/>
        </w:rPr>
        <w:t xml:space="preserve">  </w:t>
      </w:r>
      <w:r>
        <w:rPr>
          <w:rFonts w:ascii="宋体" w:hAnsi="宋体" w:cs="Times New Roman"/>
          <w:bCs/>
          <w:sz w:val="21"/>
          <w:szCs w:val="21"/>
        </w:rPr>
        <w:t>标准曲线</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2.3.3.5进样精密度试验结果</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取线性4溶液，重复进样6次（</w:t>
      </w:r>
      <w:r>
        <w:rPr>
          <w:rFonts w:ascii="Times New Roman" w:hAnsi="Times New Roman" w:cs="Times New Roman"/>
          <w:sz w:val="24"/>
          <w:szCs w:val="24"/>
        </w:rPr>
        <w:t>见表</w:t>
      </w:r>
      <w:r>
        <w:rPr>
          <w:rFonts w:hint="eastAsia" w:ascii="Times New Roman" w:hAnsi="Times New Roman" w:cs="Times New Roman"/>
          <w:sz w:val="24"/>
          <w:szCs w:val="24"/>
        </w:rPr>
        <w:t>6），</w:t>
      </w:r>
      <w:r>
        <w:rPr>
          <w:rFonts w:ascii="Times New Roman" w:hAnsi="Times New Roman" w:cs="Times New Roman"/>
          <w:sz w:val="24"/>
          <w:szCs w:val="24"/>
        </w:rPr>
        <w:t>峰面积的相对标准偏差为</w:t>
      </w:r>
      <w:r>
        <w:rPr>
          <w:rFonts w:hint="eastAsia" w:ascii="Times New Roman" w:hAnsi="Times New Roman" w:cs="Times New Roman"/>
          <w:sz w:val="24"/>
          <w:szCs w:val="24"/>
          <w:highlight w:val="none"/>
        </w:rPr>
        <w:t>2.6</w:t>
      </w:r>
      <w:r>
        <w:rPr>
          <w:rFonts w:ascii="Times New Roman" w:hAnsi="Times New Roman" w:cs="Times New Roman"/>
          <w:sz w:val="24"/>
          <w:szCs w:val="24"/>
        </w:rPr>
        <w:t>%</w:t>
      </w:r>
      <w:r>
        <w:rPr>
          <w:rFonts w:hint="eastAsia" w:ascii="Times New Roman" w:hAnsi="Times New Roman" w:cs="Times New Roman"/>
          <w:color w:val="auto"/>
          <w:sz w:val="24"/>
          <w:szCs w:val="24"/>
          <w:highlight w:val="none"/>
        </w:rPr>
        <w:t>，</w:t>
      </w:r>
      <w:r>
        <w:rPr>
          <w:rFonts w:ascii="Times New Roman" w:hAnsi="Times New Roman" w:cs="Times New Roman"/>
          <w:sz w:val="24"/>
          <w:szCs w:val="24"/>
        </w:rPr>
        <w:t>符合方法学的要求。</w:t>
      </w:r>
    </w:p>
    <w:p>
      <w:pPr>
        <w:spacing w:line="360" w:lineRule="auto"/>
        <w:ind w:firstLine="420" w:firstLineChars="200"/>
        <w:jc w:val="center"/>
        <w:rPr>
          <w:rFonts w:hint="eastAsia" w:ascii="Times New Roman" w:hAnsi="Times New Roman" w:cs="Times New Roman"/>
          <w:sz w:val="24"/>
          <w:szCs w:val="24"/>
        </w:rPr>
      </w:pPr>
      <w:r>
        <w:rPr>
          <w:rFonts w:ascii="宋体" w:hAnsi="宋体" w:cs="Times New Roman"/>
          <w:bCs/>
          <w:szCs w:val="21"/>
        </w:rPr>
        <w:t>表</w:t>
      </w:r>
      <w:r>
        <w:rPr>
          <w:rFonts w:hint="eastAsia" w:ascii="宋体" w:hAnsi="宋体" w:cs="Times New Roman"/>
          <w:bCs/>
          <w:szCs w:val="21"/>
        </w:rPr>
        <w:t>6</w:t>
      </w:r>
      <w:r>
        <w:rPr>
          <w:rFonts w:ascii="宋体" w:hAnsi="宋体" w:cs="Times New Roman"/>
          <w:bCs/>
          <w:szCs w:val="21"/>
        </w:rPr>
        <w:t xml:space="preserve">  </w:t>
      </w:r>
      <w:r>
        <w:rPr>
          <w:rFonts w:hint="eastAsia" w:ascii="宋体" w:hAnsi="宋体" w:cs="Times New Roman"/>
          <w:bCs/>
          <w:szCs w:val="21"/>
        </w:rPr>
        <w:t>精密度</w:t>
      </w:r>
      <w:r>
        <w:rPr>
          <w:rFonts w:ascii="宋体" w:hAnsi="宋体" w:cs="Times New Roman"/>
          <w:bCs/>
          <w:szCs w:val="21"/>
        </w:rPr>
        <w:t>结果</w:t>
      </w:r>
    </w:p>
    <w:tbl>
      <w:tblPr>
        <w:tblStyle w:val="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8"/>
        <w:gridCol w:w="1218"/>
        <w:gridCol w:w="1218"/>
        <w:gridCol w:w="1218"/>
        <w:gridCol w:w="1218"/>
        <w:gridCol w:w="1219"/>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进样次数</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1</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2</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3</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4</w:t>
            </w:r>
          </w:p>
        </w:tc>
        <w:tc>
          <w:tcPr>
            <w:tcW w:w="1219"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5</w:t>
            </w:r>
          </w:p>
        </w:tc>
        <w:tc>
          <w:tcPr>
            <w:tcW w:w="1219"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峰面积</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Cs w:val="21"/>
              </w:rPr>
              <w:t>0.04709</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Cs w:val="21"/>
              </w:rPr>
              <w:t>0.04647</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Cs w:val="21"/>
              </w:rPr>
              <w:t>0.04638</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Cs w:val="21"/>
              </w:rPr>
              <w:t>0.04532</w:t>
            </w:r>
          </w:p>
        </w:tc>
        <w:tc>
          <w:tcPr>
            <w:tcW w:w="1219"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Cs w:val="21"/>
              </w:rPr>
              <w:t>0.04436</w:t>
            </w:r>
          </w:p>
        </w:tc>
        <w:tc>
          <w:tcPr>
            <w:tcW w:w="1219"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Cs w:val="21"/>
              </w:rPr>
              <w:t>0.04421</w:t>
            </w:r>
          </w:p>
        </w:tc>
      </w:tr>
    </w:tbl>
    <w:p>
      <w:pPr>
        <w:widowControl w:val="0"/>
        <w:spacing w:line="360" w:lineRule="auto"/>
        <w:ind w:firstLine="480" w:firstLineChars="200"/>
        <w:jc w:val="both"/>
        <w:rPr>
          <w:rFonts w:hint="eastAsia" w:ascii="Times New Roman" w:hAnsi="Times New Roman" w:eastAsia="宋体" w:cs="Times New Roman"/>
          <w:kern w:val="2"/>
          <w:sz w:val="24"/>
          <w:szCs w:val="24"/>
          <w:lang w:val="en-US" w:eastAsia="zh-CN" w:bidi="ar-SA"/>
        </w:rPr>
      </w:pPr>
    </w:p>
    <w:p>
      <w:pPr>
        <w:snapToGrid w:val="0"/>
        <w:spacing w:line="360" w:lineRule="auto"/>
        <w:ind w:left="720" w:firstLineChars="0"/>
        <w:jc w:val="center"/>
        <w:rPr>
          <w:rFonts w:ascii="宋体" w:hAnsi="宋体" w:cs="Times New Roman"/>
          <w:bCs/>
          <w:sz w:val="21"/>
          <w:szCs w:val="21"/>
        </w:rPr>
      </w:pPr>
      <w:r>
        <w:rPr>
          <w:rFonts w:ascii="宋体" w:hAnsi="宋体" w:cs="Times New Roman"/>
          <w:bCs/>
          <w:sz w:val="21"/>
          <w:szCs w:val="21"/>
        </w:rPr>
        <w:t>表</w:t>
      </w:r>
      <w:r>
        <w:rPr>
          <w:rFonts w:hint="eastAsia" w:ascii="宋体" w:hAnsi="宋体" w:cs="Times New Roman"/>
          <w:bCs/>
          <w:sz w:val="21"/>
          <w:szCs w:val="21"/>
        </w:rPr>
        <w:t>7</w:t>
      </w:r>
      <w:r>
        <w:rPr>
          <w:rFonts w:ascii="宋体" w:hAnsi="宋体" w:cs="Times New Roman"/>
          <w:bCs/>
          <w:sz w:val="21"/>
          <w:szCs w:val="21"/>
        </w:rPr>
        <w:t xml:space="preserve">  准确度</w:t>
      </w:r>
      <w:r>
        <w:rPr>
          <w:rFonts w:hint="eastAsia" w:ascii="宋体" w:hAnsi="宋体" w:cs="Times New Roman"/>
          <w:bCs/>
          <w:sz w:val="21"/>
          <w:szCs w:val="21"/>
        </w:rPr>
        <w:t>试验</w:t>
      </w:r>
      <w:r>
        <w:rPr>
          <w:rFonts w:ascii="宋体" w:hAnsi="宋体" w:cs="Times New Roman"/>
          <w:bCs/>
          <w:sz w:val="21"/>
          <w:szCs w:val="21"/>
        </w:rPr>
        <w:t>结果</w:t>
      </w:r>
    </w:p>
    <w:tbl>
      <w:tblPr>
        <w:tblStyle w:val="2"/>
        <w:tblW w:w="8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1060"/>
        <w:gridCol w:w="1116"/>
        <w:gridCol w:w="1211"/>
        <w:gridCol w:w="1211"/>
        <w:gridCol w:w="1075"/>
        <w:gridCol w:w="1087"/>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76" w:type="dxa"/>
            <w:noWrap/>
            <w:vAlign w:val="center"/>
          </w:tcPr>
          <w:p>
            <w:pPr>
              <w:widowControl/>
              <w:jc w:val="center"/>
              <w:textAlignment w:val="center"/>
              <w:rPr>
                <w:rFonts w:ascii="Times New Roman" w:hAnsi="Times New Roman" w:cs="Times New Roman"/>
                <w:color w:val="000000"/>
                <w:sz w:val="21"/>
                <w:szCs w:val="21"/>
              </w:rPr>
            </w:pPr>
            <w:bookmarkStart w:id="14" w:name="_Hlk161352187"/>
            <w:r>
              <w:rPr>
                <w:rFonts w:ascii="Times New Roman" w:hAnsi="Times New Roman" w:cs="Times New Roman"/>
                <w:color w:val="000000"/>
                <w:kern w:val="0"/>
                <w:sz w:val="21"/>
                <w:szCs w:val="21"/>
                <w:lang w:bidi="ar"/>
              </w:rPr>
              <w:t>水平</w:t>
            </w:r>
          </w:p>
        </w:tc>
        <w:tc>
          <w:tcPr>
            <w:tcW w:w="1060" w:type="dxa"/>
            <w:noWrap/>
            <w:vAlign w:val="center"/>
          </w:tcPr>
          <w:p>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 w:val="21"/>
                <w:szCs w:val="21"/>
                <w:lang w:bidi="ar"/>
              </w:rPr>
              <w:t>原有量</w:t>
            </w:r>
          </w:p>
          <w:p>
            <w:pPr>
              <w:jc w:val="center"/>
              <w:textAlignment w:val="center"/>
              <w:rPr>
                <w:rFonts w:ascii="Times New Roman" w:hAnsi="Times New Roman" w:cs="Times New Roman"/>
                <w:color w:val="000000"/>
                <w:sz w:val="21"/>
                <w:szCs w:val="21"/>
              </w:rPr>
            </w:pPr>
            <w:r>
              <w:rPr>
                <w:rFonts w:ascii="Times New Roman" w:hAnsi="Times New Roman" w:cs="Times New Roman"/>
                <w:color w:val="000000"/>
                <w:kern w:val="0"/>
                <w:sz w:val="21"/>
                <w:szCs w:val="21"/>
                <w:lang w:bidi="ar"/>
              </w:rPr>
              <w:t>(</w:t>
            </w:r>
            <w:r>
              <w:rPr>
                <w:rFonts w:hint="default" w:ascii="Times New Roman" w:hAnsi="Times New Roman" w:cs="Times New Roman"/>
                <w:sz w:val="21"/>
                <w:szCs w:val="21"/>
              </w:rPr>
              <w:t>μ</w:t>
            </w:r>
            <w:r>
              <w:rPr>
                <w:rFonts w:ascii="Times New Roman" w:hAnsi="Times New Roman" w:cs="Times New Roman"/>
                <w:color w:val="000000"/>
                <w:kern w:val="0"/>
                <w:sz w:val="21"/>
                <w:szCs w:val="21"/>
                <w:lang w:bidi="ar"/>
              </w:rPr>
              <w:t>g)</w:t>
            </w:r>
          </w:p>
        </w:tc>
        <w:tc>
          <w:tcPr>
            <w:tcW w:w="1116" w:type="dxa"/>
            <w:noWrap/>
            <w:vAlign w:val="center"/>
          </w:tcPr>
          <w:p>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 w:val="21"/>
                <w:szCs w:val="21"/>
                <w:lang w:bidi="ar"/>
              </w:rPr>
              <w:t>测得量</w:t>
            </w:r>
          </w:p>
          <w:p>
            <w:pPr>
              <w:jc w:val="center"/>
              <w:textAlignment w:val="center"/>
              <w:rPr>
                <w:rFonts w:ascii="Times New Roman" w:hAnsi="Times New Roman" w:cs="Times New Roman"/>
                <w:color w:val="000000"/>
                <w:sz w:val="21"/>
                <w:szCs w:val="21"/>
              </w:rPr>
            </w:pPr>
            <w:r>
              <w:rPr>
                <w:rFonts w:ascii="Times New Roman" w:hAnsi="Times New Roman" w:cs="Times New Roman"/>
                <w:color w:val="000000"/>
                <w:kern w:val="0"/>
                <w:sz w:val="21"/>
                <w:szCs w:val="21"/>
                <w:lang w:bidi="ar"/>
              </w:rPr>
              <w:t>（</w:t>
            </w:r>
            <w:r>
              <w:rPr>
                <w:rFonts w:hint="default" w:ascii="Times New Roman" w:hAnsi="Times New Roman" w:cs="Times New Roman"/>
                <w:sz w:val="21"/>
                <w:szCs w:val="21"/>
              </w:rPr>
              <w:t>μ</w:t>
            </w:r>
            <w:r>
              <w:rPr>
                <w:rFonts w:ascii="Times New Roman" w:hAnsi="Times New Roman" w:cs="Times New Roman"/>
                <w:color w:val="000000"/>
                <w:kern w:val="0"/>
                <w:sz w:val="21"/>
                <w:szCs w:val="21"/>
                <w:lang w:bidi="ar"/>
              </w:rPr>
              <w:t>g）</w:t>
            </w:r>
          </w:p>
        </w:tc>
        <w:tc>
          <w:tcPr>
            <w:tcW w:w="1211" w:type="dxa"/>
            <w:noWrap/>
            <w:vAlign w:val="center"/>
          </w:tcPr>
          <w:p>
            <w:pPr>
              <w:widowControl/>
              <w:tabs>
                <w:tab w:val="left" w:pos="482"/>
              </w:tabs>
              <w:ind w:firstLine="0" w:firstLineChars="0"/>
              <w:jc w:val="center"/>
              <w:textAlignment w:val="center"/>
              <w:rPr>
                <w:rFonts w:ascii="Times New Roman" w:hAnsi="Times New Roman" w:cs="Times New Roman"/>
                <w:color w:val="000000"/>
                <w:kern w:val="0"/>
                <w:szCs w:val="21"/>
                <w:lang w:bidi="ar"/>
              </w:rPr>
            </w:pPr>
            <w:r>
              <w:rPr>
                <w:rFonts w:ascii="Times New Roman" w:hAnsi="Times New Roman" w:cs="Times New Roman"/>
                <w:color w:val="000000"/>
                <w:kern w:val="0"/>
                <w:sz w:val="21"/>
                <w:szCs w:val="21"/>
                <w:lang w:bidi="ar"/>
              </w:rPr>
              <w:t>加入量</w:t>
            </w:r>
          </w:p>
          <w:p>
            <w:pPr>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w:t>
            </w:r>
            <w:r>
              <w:rPr>
                <w:rFonts w:hint="default" w:ascii="Times New Roman" w:hAnsi="Times New Roman" w:cs="Times New Roman"/>
                <w:sz w:val="21"/>
                <w:szCs w:val="21"/>
              </w:rPr>
              <w:t>μ</w:t>
            </w:r>
            <w:r>
              <w:rPr>
                <w:rFonts w:ascii="Times New Roman" w:hAnsi="Times New Roman" w:cs="Times New Roman"/>
                <w:color w:val="000000"/>
                <w:kern w:val="0"/>
                <w:sz w:val="21"/>
                <w:szCs w:val="21"/>
                <w:lang w:bidi="ar"/>
              </w:rPr>
              <w:t>g）</w:t>
            </w:r>
          </w:p>
        </w:tc>
        <w:tc>
          <w:tcPr>
            <w:tcW w:w="1211" w:type="dxa"/>
            <w:noWrap/>
            <w:vAlign w:val="center"/>
          </w:tcPr>
          <w:p>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 w:val="21"/>
                <w:szCs w:val="21"/>
                <w:lang w:bidi="ar"/>
              </w:rPr>
              <w:t>回收率</w:t>
            </w:r>
          </w:p>
          <w:p>
            <w:pPr>
              <w:jc w:val="center"/>
              <w:textAlignment w:val="center"/>
              <w:rPr>
                <w:rFonts w:ascii="Times New Roman" w:hAnsi="Times New Roman" w:cs="Times New Roman"/>
                <w:color w:val="000000"/>
                <w:sz w:val="21"/>
                <w:szCs w:val="21"/>
              </w:rPr>
            </w:pPr>
            <w:r>
              <w:rPr>
                <w:rFonts w:ascii="Times New Roman" w:hAnsi="Times New Roman" w:cs="Times New Roman"/>
                <w:color w:val="000000"/>
                <w:kern w:val="0"/>
                <w:sz w:val="21"/>
                <w:szCs w:val="21"/>
                <w:lang w:bidi="ar"/>
              </w:rPr>
              <w:t>(%)</w:t>
            </w:r>
          </w:p>
        </w:tc>
        <w:tc>
          <w:tcPr>
            <w:tcW w:w="1075" w:type="dxa"/>
            <w:noWrap/>
            <w:vAlign w:val="center"/>
          </w:tcPr>
          <w:p>
            <w:pPr>
              <w:rPr>
                <w:rFonts w:cs="Times New Roman"/>
                <w:szCs w:val="22"/>
              </w:rPr>
            </w:pPr>
            <w:r>
              <w:rPr>
                <w:rFonts w:ascii="Times New Roman" w:hAnsi="Times New Roman" w:cs="Times New Roman"/>
                <w:color w:val="000000"/>
                <w:kern w:val="0"/>
                <w:sz w:val="21"/>
                <w:szCs w:val="21"/>
                <w:lang w:bidi="ar"/>
              </w:rPr>
              <w:t>每份回收率</w:t>
            </w:r>
          </w:p>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kern w:val="0"/>
                <w:sz w:val="21"/>
                <w:szCs w:val="21"/>
                <w:lang w:bidi="ar"/>
              </w:rPr>
              <w:t>（%）</w:t>
            </w:r>
          </w:p>
        </w:tc>
        <w:tc>
          <w:tcPr>
            <w:tcW w:w="1087" w:type="dxa"/>
            <w:noWrap/>
            <w:vAlign w:val="center"/>
          </w:tcPr>
          <w:p>
            <w:pPr>
              <w:rPr>
                <w:rFonts w:cs="Times New Roman"/>
                <w:szCs w:val="22"/>
              </w:rPr>
            </w:pPr>
            <w:r>
              <w:rPr>
                <w:rFonts w:ascii="Times New Roman" w:hAnsi="Times New Roman" w:cs="Times New Roman"/>
                <w:color w:val="000000"/>
                <w:kern w:val="0"/>
                <w:sz w:val="21"/>
                <w:szCs w:val="21"/>
                <w:lang w:bidi="ar"/>
              </w:rPr>
              <w:t>平均回收率</w:t>
            </w:r>
          </w:p>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kern w:val="0"/>
                <w:sz w:val="21"/>
                <w:szCs w:val="21"/>
                <w:lang w:bidi="ar"/>
              </w:rPr>
              <w:t>(%)</w:t>
            </w:r>
          </w:p>
        </w:tc>
        <w:tc>
          <w:tcPr>
            <w:tcW w:w="689" w:type="dxa"/>
            <w:noWrap/>
            <w:vAlign w:val="center"/>
          </w:tcPr>
          <w:p>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 w:val="21"/>
                <w:szCs w:val="21"/>
                <w:lang w:bidi="ar"/>
              </w:rPr>
              <w:t>RSD</w:t>
            </w:r>
          </w:p>
          <w:p>
            <w:pPr>
              <w:jc w:val="center"/>
              <w:textAlignment w:val="center"/>
              <w:rPr>
                <w:rFonts w:ascii="Times New Roman" w:hAnsi="Times New Roman" w:cs="Times New Roman"/>
                <w:color w:val="000000"/>
                <w:sz w:val="21"/>
                <w:szCs w:val="21"/>
              </w:rPr>
            </w:pPr>
            <w:r>
              <w:rPr>
                <w:rFonts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76" w:type="dxa"/>
            <w:vMerge w:val="restart"/>
            <w:noWrap/>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100%</w:t>
            </w:r>
          </w:p>
        </w:tc>
        <w:tc>
          <w:tcPr>
            <w:tcW w:w="1060" w:type="dxa"/>
            <w:noWrap/>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kern w:val="0"/>
                <w:sz w:val="21"/>
                <w:szCs w:val="21"/>
                <w:lang w:bidi="ar"/>
              </w:rPr>
              <w:t>0.0000</w:t>
            </w:r>
          </w:p>
        </w:tc>
        <w:tc>
          <w:tcPr>
            <w:tcW w:w="1116" w:type="dxa"/>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5.2609</w:t>
            </w:r>
            <w:r>
              <w:rPr>
                <w:rFonts w:hint="default" w:ascii="Times New Roman" w:hAnsi="Times New Roman" w:cs="Times New Roman"/>
                <w:color w:val="000000"/>
                <w:kern w:val="0"/>
                <w:sz w:val="21"/>
                <w:szCs w:val="21"/>
                <w:lang w:bidi="ar"/>
              </w:rPr>
              <w:t xml:space="preserve"> </w:t>
            </w:r>
          </w:p>
        </w:tc>
        <w:tc>
          <w:tcPr>
            <w:tcW w:w="1211" w:type="dxa"/>
            <w:vMerge w:val="restart"/>
            <w:noWrap/>
            <w:vAlign w:val="center"/>
          </w:tcPr>
          <w:p>
            <w:pPr>
              <w:widowControl/>
              <w:jc w:val="center"/>
              <w:textAlignment w:val="center"/>
              <w:rPr>
                <w:rFonts w:ascii="Times New Roman" w:hAnsi="Times New Roman" w:cs="Times New Roman"/>
                <w:color w:val="000000"/>
                <w:kern w:val="0"/>
                <w:sz w:val="21"/>
                <w:szCs w:val="21"/>
                <w:lang w:bidi="ar"/>
              </w:rPr>
            </w:pPr>
            <w:r>
              <w:rPr>
                <w:rFonts w:hint="eastAsia" w:ascii="Times New Roman" w:hAnsi="Times New Roman" w:cs="Times New Roman"/>
                <w:color w:val="000000"/>
                <w:kern w:val="0"/>
                <w:szCs w:val="21"/>
                <w:lang w:bidi="ar"/>
              </w:rPr>
              <w:t>4.9631</w:t>
            </w:r>
          </w:p>
        </w:tc>
        <w:tc>
          <w:tcPr>
            <w:tcW w:w="1211" w:type="dxa"/>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105.998</w:t>
            </w:r>
          </w:p>
        </w:tc>
        <w:tc>
          <w:tcPr>
            <w:tcW w:w="1075" w:type="dxa"/>
            <w:vMerge w:val="restart"/>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99.916</w:t>
            </w:r>
          </w:p>
        </w:tc>
        <w:tc>
          <w:tcPr>
            <w:tcW w:w="1087" w:type="dxa"/>
            <w:vMerge w:val="restart"/>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93.3</w:t>
            </w:r>
          </w:p>
        </w:tc>
        <w:tc>
          <w:tcPr>
            <w:tcW w:w="689" w:type="dxa"/>
            <w:vMerge w:val="restart"/>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76" w:type="dxa"/>
            <w:vMerge w:val="continue"/>
            <w:noWrap/>
            <w:vAlign w:val="center"/>
          </w:tcPr>
          <w:p>
            <w:pPr>
              <w:widowControl/>
              <w:jc w:val="center"/>
              <w:textAlignment w:val="center"/>
              <w:rPr>
                <w:rFonts w:ascii="Times New Roman" w:hAnsi="Times New Roman" w:cs="Times New Roman"/>
                <w:color w:val="000000"/>
                <w:sz w:val="21"/>
                <w:szCs w:val="21"/>
              </w:rPr>
            </w:pPr>
          </w:p>
        </w:tc>
        <w:tc>
          <w:tcPr>
            <w:tcW w:w="1060" w:type="dxa"/>
            <w:noWrap/>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kern w:val="0"/>
                <w:sz w:val="21"/>
                <w:szCs w:val="21"/>
                <w:lang w:bidi="ar"/>
              </w:rPr>
              <w:t>0.0000</w:t>
            </w:r>
          </w:p>
        </w:tc>
        <w:tc>
          <w:tcPr>
            <w:tcW w:w="1116" w:type="dxa"/>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4.6571</w:t>
            </w:r>
            <w:r>
              <w:rPr>
                <w:rFonts w:hint="default" w:ascii="Times New Roman" w:hAnsi="Times New Roman" w:cs="Times New Roman"/>
                <w:color w:val="000000"/>
                <w:kern w:val="0"/>
                <w:sz w:val="21"/>
                <w:szCs w:val="21"/>
                <w:lang w:bidi="ar"/>
              </w:rPr>
              <w:t xml:space="preserve"> </w:t>
            </w:r>
          </w:p>
        </w:tc>
        <w:tc>
          <w:tcPr>
            <w:tcW w:w="1211" w:type="dxa"/>
            <w:vMerge w:val="continue"/>
            <w:noWrap/>
            <w:vAlign w:val="center"/>
          </w:tcPr>
          <w:p>
            <w:pPr>
              <w:widowControl/>
              <w:jc w:val="center"/>
              <w:textAlignment w:val="center"/>
              <w:rPr>
                <w:rFonts w:ascii="Times New Roman" w:hAnsi="Times New Roman" w:cs="Times New Roman"/>
                <w:color w:val="000000"/>
                <w:kern w:val="0"/>
                <w:sz w:val="21"/>
                <w:szCs w:val="21"/>
                <w:lang w:bidi="ar"/>
              </w:rPr>
            </w:pPr>
          </w:p>
        </w:tc>
        <w:tc>
          <w:tcPr>
            <w:tcW w:w="1211" w:type="dxa"/>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93.833</w:t>
            </w:r>
          </w:p>
        </w:tc>
        <w:tc>
          <w:tcPr>
            <w:tcW w:w="1075" w:type="dxa"/>
            <w:vMerge w:val="continue"/>
            <w:noWrap/>
            <w:vAlign w:val="center"/>
          </w:tcPr>
          <w:p>
            <w:pPr>
              <w:jc w:val="center"/>
              <w:rPr>
                <w:rFonts w:ascii="Times New Roman" w:hAnsi="Times New Roman" w:cs="Times New Roman"/>
                <w:color w:val="000000"/>
                <w:sz w:val="21"/>
                <w:szCs w:val="21"/>
              </w:rPr>
            </w:pPr>
          </w:p>
        </w:tc>
        <w:tc>
          <w:tcPr>
            <w:tcW w:w="1087" w:type="dxa"/>
            <w:vMerge w:val="continue"/>
            <w:noWrap/>
            <w:vAlign w:val="center"/>
          </w:tcPr>
          <w:p>
            <w:pPr>
              <w:jc w:val="center"/>
              <w:rPr>
                <w:rFonts w:ascii="Times New Roman" w:hAnsi="Times New Roman" w:cs="Times New Roman"/>
                <w:color w:val="000000"/>
                <w:sz w:val="21"/>
                <w:szCs w:val="21"/>
              </w:rPr>
            </w:pPr>
          </w:p>
        </w:tc>
        <w:tc>
          <w:tcPr>
            <w:tcW w:w="689" w:type="dxa"/>
            <w:vMerge w:val="continue"/>
            <w:noWrap/>
            <w:vAlign w:val="center"/>
          </w:tcPr>
          <w:p>
            <w:pPr>
              <w:jc w:val="center"/>
              <w:rPr>
                <w:rFonts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6" w:type="dxa"/>
            <w:vMerge w:val="continue"/>
            <w:noWrap/>
            <w:vAlign w:val="center"/>
          </w:tcPr>
          <w:p>
            <w:pPr>
              <w:widowControl/>
              <w:jc w:val="center"/>
              <w:textAlignment w:val="center"/>
              <w:rPr>
                <w:rFonts w:ascii="Times New Roman" w:hAnsi="Times New Roman" w:cs="Times New Roman"/>
                <w:color w:val="000000"/>
                <w:sz w:val="21"/>
                <w:szCs w:val="21"/>
              </w:rPr>
            </w:pPr>
          </w:p>
        </w:tc>
        <w:tc>
          <w:tcPr>
            <w:tcW w:w="1060" w:type="dxa"/>
            <w:noWrap/>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kern w:val="0"/>
                <w:sz w:val="21"/>
                <w:szCs w:val="21"/>
                <w:lang w:bidi="ar"/>
              </w:rPr>
              <w:t>0.0000</w:t>
            </w:r>
          </w:p>
        </w:tc>
        <w:tc>
          <w:tcPr>
            <w:tcW w:w="1116" w:type="dxa"/>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4.7314</w:t>
            </w:r>
            <w:r>
              <w:rPr>
                <w:rFonts w:hint="default" w:ascii="Times New Roman" w:hAnsi="Times New Roman" w:cs="Times New Roman"/>
                <w:color w:val="000000"/>
                <w:kern w:val="0"/>
                <w:sz w:val="21"/>
                <w:szCs w:val="21"/>
                <w:lang w:bidi="ar"/>
              </w:rPr>
              <w:t xml:space="preserve"> </w:t>
            </w:r>
          </w:p>
        </w:tc>
        <w:tc>
          <w:tcPr>
            <w:tcW w:w="1211" w:type="dxa"/>
            <w:vMerge w:val="continue"/>
            <w:noWrap/>
            <w:vAlign w:val="center"/>
          </w:tcPr>
          <w:p>
            <w:pPr>
              <w:widowControl/>
              <w:jc w:val="center"/>
              <w:textAlignment w:val="center"/>
              <w:rPr>
                <w:rFonts w:ascii="Times New Roman" w:hAnsi="Times New Roman" w:cs="Times New Roman"/>
                <w:color w:val="000000"/>
                <w:kern w:val="0"/>
                <w:sz w:val="21"/>
                <w:szCs w:val="21"/>
                <w:lang w:bidi="ar"/>
              </w:rPr>
            </w:pPr>
          </w:p>
        </w:tc>
        <w:tc>
          <w:tcPr>
            <w:tcW w:w="1211" w:type="dxa"/>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95.331</w:t>
            </w:r>
          </w:p>
        </w:tc>
        <w:tc>
          <w:tcPr>
            <w:tcW w:w="1075" w:type="dxa"/>
            <w:vMerge w:val="restart"/>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92.681</w:t>
            </w:r>
          </w:p>
        </w:tc>
        <w:tc>
          <w:tcPr>
            <w:tcW w:w="1087" w:type="dxa"/>
            <w:vMerge w:val="continue"/>
            <w:noWrap/>
            <w:vAlign w:val="center"/>
          </w:tcPr>
          <w:p>
            <w:pPr>
              <w:jc w:val="center"/>
              <w:rPr>
                <w:rFonts w:ascii="Times New Roman" w:hAnsi="Times New Roman" w:cs="Times New Roman"/>
                <w:color w:val="000000"/>
                <w:sz w:val="21"/>
                <w:szCs w:val="21"/>
              </w:rPr>
            </w:pPr>
          </w:p>
        </w:tc>
        <w:tc>
          <w:tcPr>
            <w:tcW w:w="689" w:type="dxa"/>
            <w:vMerge w:val="continue"/>
            <w:noWrap/>
            <w:vAlign w:val="center"/>
          </w:tcPr>
          <w:p>
            <w:pPr>
              <w:jc w:val="center"/>
              <w:rPr>
                <w:rFonts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76" w:type="dxa"/>
            <w:vMerge w:val="continue"/>
            <w:noWrap/>
            <w:vAlign w:val="center"/>
          </w:tcPr>
          <w:p>
            <w:pPr>
              <w:widowControl/>
              <w:jc w:val="center"/>
              <w:textAlignment w:val="center"/>
              <w:rPr>
                <w:rFonts w:ascii="Times New Roman" w:hAnsi="Times New Roman" w:cs="Times New Roman"/>
                <w:color w:val="000000"/>
                <w:sz w:val="21"/>
                <w:szCs w:val="21"/>
              </w:rPr>
            </w:pPr>
          </w:p>
        </w:tc>
        <w:tc>
          <w:tcPr>
            <w:tcW w:w="1060" w:type="dxa"/>
            <w:noWrap/>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kern w:val="0"/>
                <w:sz w:val="21"/>
                <w:szCs w:val="21"/>
                <w:lang w:bidi="ar"/>
              </w:rPr>
              <w:t>0.0000</w:t>
            </w:r>
          </w:p>
        </w:tc>
        <w:tc>
          <w:tcPr>
            <w:tcW w:w="1116" w:type="dxa"/>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4.4684</w:t>
            </w:r>
            <w:r>
              <w:rPr>
                <w:rFonts w:hint="default" w:ascii="Times New Roman" w:hAnsi="Times New Roman" w:cs="Times New Roman"/>
                <w:color w:val="000000"/>
                <w:kern w:val="0"/>
                <w:sz w:val="21"/>
                <w:szCs w:val="21"/>
                <w:lang w:bidi="ar"/>
              </w:rPr>
              <w:t xml:space="preserve"> </w:t>
            </w:r>
          </w:p>
        </w:tc>
        <w:tc>
          <w:tcPr>
            <w:tcW w:w="1211" w:type="dxa"/>
            <w:vMerge w:val="continue"/>
            <w:noWrap/>
            <w:vAlign w:val="center"/>
          </w:tcPr>
          <w:p>
            <w:pPr>
              <w:widowControl/>
              <w:jc w:val="center"/>
              <w:textAlignment w:val="center"/>
              <w:rPr>
                <w:rFonts w:ascii="Times New Roman" w:hAnsi="Times New Roman" w:cs="Times New Roman"/>
                <w:color w:val="000000"/>
                <w:kern w:val="0"/>
                <w:sz w:val="21"/>
                <w:szCs w:val="21"/>
                <w:lang w:bidi="ar"/>
              </w:rPr>
            </w:pPr>
          </w:p>
        </w:tc>
        <w:tc>
          <w:tcPr>
            <w:tcW w:w="1211" w:type="dxa"/>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90.031</w:t>
            </w:r>
          </w:p>
        </w:tc>
        <w:tc>
          <w:tcPr>
            <w:tcW w:w="1075" w:type="dxa"/>
            <w:vMerge w:val="continue"/>
            <w:noWrap/>
            <w:vAlign w:val="center"/>
          </w:tcPr>
          <w:p>
            <w:pPr>
              <w:jc w:val="center"/>
              <w:rPr>
                <w:rFonts w:ascii="Times New Roman" w:hAnsi="Times New Roman" w:cs="Times New Roman"/>
                <w:color w:val="000000"/>
                <w:sz w:val="21"/>
                <w:szCs w:val="21"/>
              </w:rPr>
            </w:pPr>
          </w:p>
        </w:tc>
        <w:tc>
          <w:tcPr>
            <w:tcW w:w="1087" w:type="dxa"/>
            <w:vMerge w:val="continue"/>
            <w:noWrap/>
            <w:vAlign w:val="center"/>
          </w:tcPr>
          <w:p>
            <w:pPr>
              <w:jc w:val="center"/>
              <w:rPr>
                <w:rFonts w:ascii="Times New Roman" w:hAnsi="Times New Roman" w:cs="Times New Roman"/>
                <w:color w:val="000000"/>
                <w:sz w:val="21"/>
                <w:szCs w:val="21"/>
              </w:rPr>
            </w:pPr>
          </w:p>
        </w:tc>
        <w:tc>
          <w:tcPr>
            <w:tcW w:w="689" w:type="dxa"/>
            <w:vMerge w:val="continue"/>
            <w:noWrap/>
            <w:vAlign w:val="center"/>
          </w:tcPr>
          <w:p>
            <w:pPr>
              <w:jc w:val="center"/>
              <w:rPr>
                <w:rFonts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76" w:type="dxa"/>
            <w:vMerge w:val="continue"/>
            <w:noWrap/>
            <w:vAlign w:val="center"/>
          </w:tcPr>
          <w:p>
            <w:pPr>
              <w:widowControl/>
              <w:jc w:val="center"/>
              <w:textAlignment w:val="center"/>
              <w:rPr>
                <w:rFonts w:ascii="Times New Roman" w:hAnsi="Times New Roman" w:cs="Times New Roman"/>
                <w:color w:val="000000"/>
                <w:sz w:val="21"/>
                <w:szCs w:val="21"/>
              </w:rPr>
            </w:pPr>
          </w:p>
        </w:tc>
        <w:tc>
          <w:tcPr>
            <w:tcW w:w="1060" w:type="dxa"/>
            <w:noWrap/>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kern w:val="0"/>
                <w:sz w:val="21"/>
                <w:szCs w:val="21"/>
                <w:lang w:bidi="ar"/>
              </w:rPr>
              <w:t>0.0000</w:t>
            </w:r>
          </w:p>
        </w:tc>
        <w:tc>
          <w:tcPr>
            <w:tcW w:w="1116" w:type="dxa"/>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4.5239</w:t>
            </w:r>
            <w:r>
              <w:rPr>
                <w:rFonts w:hint="default" w:ascii="Times New Roman" w:hAnsi="Times New Roman" w:cs="Times New Roman"/>
                <w:color w:val="000000"/>
                <w:kern w:val="0"/>
                <w:sz w:val="21"/>
                <w:szCs w:val="21"/>
                <w:lang w:bidi="ar"/>
              </w:rPr>
              <w:t xml:space="preserve"> </w:t>
            </w:r>
          </w:p>
        </w:tc>
        <w:tc>
          <w:tcPr>
            <w:tcW w:w="1211" w:type="dxa"/>
            <w:vMerge w:val="continue"/>
            <w:noWrap/>
            <w:vAlign w:val="center"/>
          </w:tcPr>
          <w:p>
            <w:pPr>
              <w:widowControl/>
              <w:jc w:val="center"/>
              <w:textAlignment w:val="center"/>
              <w:rPr>
                <w:rFonts w:ascii="Times New Roman" w:hAnsi="Times New Roman" w:cs="Times New Roman"/>
                <w:color w:val="000000"/>
                <w:kern w:val="0"/>
                <w:sz w:val="21"/>
                <w:szCs w:val="21"/>
                <w:lang w:bidi="ar"/>
              </w:rPr>
            </w:pPr>
          </w:p>
        </w:tc>
        <w:tc>
          <w:tcPr>
            <w:tcW w:w="1211" w:type="dxa"/>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91.150</w:t>
            </w:r>
          </w:p>
        </w:tc>
        <w:tc>
          <w:tcPr>
            <w:tcW w:w="1075" w:type="dxa"/>
            <w:vMerge w:val="restart"/>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90.199</w:t>
            </w:r>
          </w:p>
        </w:tc>
        <w:tc>
          <w:tcPr>
            <w:tcW w:w="1087" w:type="dxa"/>
            <w:vMerge w:val="continue"/>
            <w:noWrap/>
            <w:vAlign w:val="center"/>
          </w:tcPr>
          <w:p>
            <w:pPr>
              <w:jc w:val="center"/>
              <w:rPr>
                <w:rFonts w:ascii="Times New Roman" w:hAnsi="Times New Roman" w:cs="Times New Roman"/>
                <w:color w:val="000000"/>
                <w:sz w:val="21"/>
                <w:szCs w:val="21"/>
              </w:rPr>
            </w:pPr>
          </w:p>
        </w:tc>
        <w:tc>
          <w:tcPr>
            <w:tcW w:w="689" w:type="dxa"/>
            <w:vMerge w:val="continue"/>
            <w:noWrap/>
            <w:vAlign w:val="center"/>
          </w:tcPr>
          <w:p>
            <w:pPr>
              <w:jc w:val="center"/>
              <w:rPr>
                <w:rFonts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76" w:type="dxa"/>
            <w:vMerge w:val="continue"/>
            <w:noWrap/>
            <w:vAlign w:val="center"/>
          </w:tcPr>
          <w:p>
            <w:pPr>
              <w:widowControl/>
              <w:jc w:val="center"/>
              <w:textAlignment w:val="center"/>
              <w:rPr>
                <w:rFonts w:ascii="Times New Roman" w:hAnsi="Times New Roman" w:cs="Times New Roman"/>
                <w:color w:val="000000"/>
                <w:sz w:val="21"/>
                <w:szCs w:val="21"/>
              </w:rPr>
            </w:pPr>
          </w:p>
        </w:tc>
        <w:tc>
          <w:tcPr>
            <w:tcW w:w="1060" w:type="dxa"/>
            <w:noWrap/>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kern w:val="0"/>
                <w:sz w:val="21"/>
                <w:szCs w:val="21"/>
                <w:lang w:bidi="ar"/>
              </w:rPr>
              <w:t>0.0000</w:t>
            </w:r>
          </w:p>
        </w:tc>
        <w:tc>
          <w:tcPr>
            <w:tcW w:w="1116" w:type="dxa"/>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4.4295</w:t>
            </w:r>
            <w:r>
              <w:rPr>
                <w:rFonts w:hint="default" w:ascii="Times New Roman" w:hAnsi="Times New Roman" w:cs="Times New Roman"/>
                <w:color w:val="000000"/>
                <w:kern w:val="0"/>
                <w:sz w:val="21"/>
                <w:szCs w:val="21"/>
                <w:lang w:bidi="ar"/>
              </w:rPr>
              <w:t xml:space="preserve"> </w:t>
            </w:r>
          </w:p>
        </w:tc>
        <w:tc>
          <w:tcPr>
            <w:tcW w:w="1211" w:type="dxa"/>
            <w:vMerge w:val="continue"/>
            <w:noWrap/>
            <w:vAlign w:val="center"/>
          </w:tcPr>
          <w:p>
            <w:pPr>
              <w:widowControl/>
              <w:jc w:val="center"/>
              <w:textAlignment w:val="center"/>
              <w:rPr>
                <w:rFonts w:ascii="Times New Roman" w:hAnsi="Times New Roman" w:cs="Times New Roman"/>
                <w:color w:val="000000"/>
                <w:kern w:val="0"/>
                <w:sz w:val="21"/>
                <w:szCs w:val="21"/>
                <w:lang w:bidi="ar"/>
              </w:rPr>
            </w:pPr>
          </w:p>
        </w:tc>
        <w:tc>
          <w:tcPr>
            <w:tcW w:w="1211" w:type="dxa"/>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89.249</w:t>
            </w:r>
          </w:p>
        </w:tc>
        <w:tc>
          <w:tcPr>
            <w:tcW w:w="1075" w:type="dxa"/>
            <w:vMerge w:val="continue"/>
            <w:noWrap/>
            <w:vAlign w:val="center"/>
          </w:tcPr>
          <w:p>
            <w:pPr>
              <w:jc w:val="center"/>
              <w:rPr>
                <w:rFonts w:ascii="Times New Roman" w:hAnsi="Times New Roman" w:cs="Times New Roman"/>
                <w:color w:val="000000"/>
                <w:sz w:val="21"/>
                <w:szCs w:val="21"/>
              </w:rPr>
            </w:pPr>
          </w:p>
        </w:tc>
        <w:tc>
          <w:tcPr>
            <w:tcW w:w="1087" w:type="dxa"/>
            <w:vMerge w:val="continue"/>
            <w:noWrap/>
            <w:vAlign w:val="center"/>
          </w:tcPr>
          <w:p>
            <w:pPr>
              <w:jc w:val="center"/>
              <w:rPr>
                <w:rFonts w:ascii="Times New Roman" w:hAnsi="Times New Roman" w:cs="Times New Roman"/>
                <w:color w:val="000000"/>
                <w:sz w:val="21"/>
                <w:szCs w:val="21"/>
              </w:rPr>
            </w:pPr>
          </w:p>
        </w:tc>
        <w:tc>
          <w:tcPr>
            <w:tcW w:w="689" w:type="dxa"/>
            <w:vMerge w:val="continue"/>
            <w:noWrap/>
            <w:vAlign w:val="center"/>
          </w:tcPr>
          <w:p>
            <w:pPr>
              <w:jc w:val="center"/>
              <w:rPr>
                <w:rFonts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76" w:type="dxa"/>
            <w:vMerge w:val="continue"/>
            <w:noWrap/>
            <w:vAlign w:val="center"/>
          </w:tcPr>
          <w:p>
            <w:pPr>
              <w:widowControl/>
              <w:jc w:val="center"/>
              <w:textAlignment w:val="center"/>
              <w:rPr>
                <w:rFonts w:ascii="Times New Roman" w:hAnsi="Times New Roman" w:cs="Times New Roman"/>
                <w:color w:val="000000"/>
                <w:sz w:val="21"/>
                <w:szCs w:val="21"/>
              </w:rPr>
            </w:pPr>
          </w:p>
        </w:tc>
        <w:tc>
          <w:tcPr>
            <w:tcW w:w="1060" w:type="dxa"/>
            <w:noWrap/>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kern w:val="0"/>
                <w:sz w:val="21"/>
                <w:szCs w:val="21"/>
                <w:lang w:bidi="ar"/>
              </w:rPr>
              <w:t>0.0000</w:t>
            </w:r>
          </w:p>
        </w:tc>
        <w:tc>
          <w:tcPr>
            <w:tcW w:w="1116" w:type="dxa"/>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4.3019</w:t>
            </w:r>
            <w:r>
              <w:rPr>
                <w:rFonts w:hint="default" w:ascii="Times New Roman" w:hAnsi="Times New Roman" w:cs="Times New Roman"/>
                <w:color w:val="000000"/>
                <w:kern w:val="0"/>
                <w:sz w:val="21"/>
                <w:szCs w:val="21"/>
                <w:lang w:bidi="ar"/>
              </w:rPr>
              <w:t xml:space="preserve"> </w:t>
            </w:r>
          </w:p>
        </w:tc>
        <w:tc>
          <w:tcPr>
            <w:tcW w:w="1211" w:type="dxa"/>
            <w:vMerge w:val="continue"/>
            <w:noWrap/>
            <w:vAlign w:val="center"/>
          </w:tcPr>
          <w:p>
            <w:pPr>
              <w:widowControl/>
              <w:jc w:val="center"/>
              <w:textAlignment w:val="center"/>
              <w:rPr>
                <w:rFonts w:ascii="Times New Roman" w:hAnsi="Times New Roman" w:cs="Times New Roman"/>
                <w:color w:val="000000"/>
                <w:kern w:val="0"/>
                <w:sz w:val="21"/>
                <w:szCs w:val="21"/>
                <w:lang w:bidi="ar"/>
              </w:rPr>
            </w:pPr>
          </w:p>
        </w:tc>
        <w:tc>
          <w:tcPr>
            <w:tcW w:w="1211" w:type="dxa"/>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86.677</w:t>
            </w:r>
          </w:p>
        </w:tc>
        <w:tc>
          <w:tcPr>
            <w:tcW w:w="1075" w:type="dxa"/>
            <w:vMerge w:val="restart"/>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88.846</w:t>
            </w:r>
          </w:p>
        </w:tc>
        <w:tc>
          <w:tcPr>
            <w:tcW w:w="1087" w:type="dxa"/>
            <w:vMerge w:val="continue"/>
            <w:noWrap/>
            <w:vAlign w:val="center"/>
          </w:tcPr>
          <w:p>
            <w:pPr>
              <w:jc w:val="center"/>
              <w:rPr>
                <w:rFonts w:ascii="Times New Roman" w:hAnsi="Times New Roman" w:cs="Times New Roman"/>
                <w:color w:val="000000"/>
                <w:sz w:val="21"/>
                <w:szCs w:val="21"/>
              </w:rPr>
            </w:pPr>
          </w:p>
        </w:tc>
        <w:tc>
          <w:tcPr>
            <w:tcW w:w="689" w:type="dxa"/>
            <w:vMerge w:val="continue"/>
            <w:noWrap/>
            <w:vAlign w:val="center"/>
          </w:tcPr>
          <w:p>
            <w:pPr>
              <w:jc w:val="center"/>
              <w:rPr>
                <w:rFonts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76" w:type="dxa"/>
            <w:vMerge w:val="continue"/>
            <w:noWrap/>
            <w:vAlign w:val="center"/>
          </w:tcPr>
          <w:p>
            <w:pPr>
              <w:widowControl/>
              <w:jc w:val="center"/>
              <w:textAlignment w:val="center"/>
              <w:rPr>
                <w:rFonts w:ascii="Times New Roman" w:hAnsi="Times New Roman" w:cs="Times New Roman"/>
                <w:color w:val="000000"/>
                <w:sz w:val="21"/>
                <w:szCs w:val="21"/>
              </w:rPr>
            </w:pPr>
          </w:p>
        </w:tc>
        <w:tc>
          <w:tcPr>
            <w:tcW w:w="1060" w:type="dxa"/>
            <w:noWrap/>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kern w:val="0"/>
                <w:sz w:val="21"/>
                <w:szCs w:val="21"/>
                <w:lang w:bidi="ar"/>
              </w:rPr>
              <w:t>0.0000</w:t>
            </w:r>
          </w:p>
        </w:tc>
        <w:tc>
          <w:tcPr>
            <w:tcW w:w="1116" w:type="dxa"/>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4.5172</w:t>
            </w:r>
            <w:r>
              <w:rPr>
                <w:rFonts w:hint="default" w:ascii="Times New Roman" w:hAnsi="Times New Roman" w:cs="Times New Roman"/>
                <w:color w:val="000000"/>
                <w:kern w:val="0"/>
                <w:sz w:val="21"/>
                <w:szCs w:val="21"/>
                <w:lang w:bidi="ar"/>
              </w:rPr>
              <w:t xml:space="preserve"> </w:t>
            </w:r>
          </w:p>
        </w:tc>
        <w:tc>
          <w:tcPr>
            <w:tcW w:w="1211" w:type="dxa"/>
            <w:vMerge w:val="continue"/>
            <w:noWrap/>
            <w:vAlign w:val="center"/>
          </w:tcPr>
          <w:p>
            <w:pPr>
              <w:widowControl/>
              <w:jc w:val="center"/>
              <w:textAlignment w:val="center"/>
              <w:rPr>
                <w:rFonts w:ascii="Times New Roman" w:hAnsi="Times New Roman" w:cs="Times New Roman"/>
                <w:color w:val="000000"/>
                <w:kern w:val="0"/>
                <w:sz w:val="21"/>
                <w:szCs w:val="21"/>
                <w:lang w:bidi="ar"/>
              </w:rPr>
            </w:pPr>
          </w:p>
        </w:tc>
        <w:tc>
          <w:tcPr>
            <w:tcW w:w="1211" w:type="dxa"/>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91.015</w:t>
            </w:r>
          </w:p>
        </w:tc>
        <w:tc>
          <w:tcPr>
            <w:tcW w:w="1075" w:type="dxa"/>
            <w:vMerge w:val="continue"/>
            <w:noWrap/>
            <w:vAlign w:val="center"/>
          </w:tcPr>
          <w:p>
            <w:pPr>
              <w:jc w:val="center"/>
              <w:rPr>
                <w:rFonts w:ascii="Times New Roman" w:hAnsi="Times New Roman" w:cs="Times New Roman"/>
                <w:color w:val="000000"/>
                <w:sz w:val="21"/>
                <w:szCs w:val="21"/>
              </w:rPr>
            </w:pPr>
          </w:p>
        </w:tc>
        <w:tc>
          <w:tcPr>
            <w:tcW w:w="1087" w:type="dxa"/>
            <w:vMerge w:val="continue"/>
            <w:noWrap/>
            <w:vAlign w:val="center"/>
          </w:tcPr>
          <w:p>
            <w:pPr>
              <w:jc w:val="center"/>
              <w:rPr>
                <w:rFonts w:ascii="Times New Roman" w:hAnsi="Times New Roman" w:cs="Times New Roman"/>
                <w:color w:val="000000"/>
                <w:sz w:val="21"/>
                <w:szCs w:val="21"/>
              </w:rPr>
            </w:pPr>
          </w:p>
        </w:tc>
        <w:tc>
          <w:tcPr>
            <w:tcW w:w="689" w:type="dxa"/>
            <w:vMerge w:val="continue"/>
            <w:noWrap/>
            <w:vAlign w:val="center"/>
          </w:tcPr>
          <w:p>
            <w:pPr>
              <w:jc w:val="center"/>
              <w:rPr>
                <w:rFonts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76" w:type="dxa"/>
            <w:vMerge w:val="continue"/>
            <w:noWrap/>
            <w:vAlign w:val="center"/>
          </w:tcPr>
          <w:p>
            <w:pPr>
              <w:widowControl/>
              <w:jc w:val="center"/>
              <w:textAlignment w:val="center"/>
              <w:rPr>
                <w:rFonts w:ascii="Times New Roman" w:hAnsi="Times New Roman" w:cs="Times New Roman"/>
                <w:color w:val="000000"/>
                <w:sz w:val="21"/>
                <w:szCs w:val="21"/>
              </w:rPr>
            </w:pPr>
          </w:p>
        </w:tc>
        <w:tc>
          <w:tcPr>
            <w:tcW w:w="1060" w:type="dxa"/>
            <w:noWrap/>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kern w:val="0"/>
                <w:sz w:val="21"/>
                <w:szCs w:val="21"/>
                <w:lang w:bidi="ar"/>
              </w:rPr>
              <w:t>0.0000</w:t>
            </w:r>
          </w:p>
        </w:tc>
        <w:tc>
          <w:tcPr>
            <w:tcW w:w="1116" w:type="dxa"/>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4.2953</w:t>
            </w:r>
            <w:r>
              <w:rPr>
                <w:rFonts w:hint="default" w:ascii="Times New Roman" w:hAnsi="Times New Roman" w:cs="Times New Roman"/>
                <w:color w:val="000000"/>
                <w:kern w:val="0"/>
                <w:sz w:val="21"/>
                <w:szCs w:val="21"/>
                <w:lang w:bidi="ar"/>
              </w:rPr>
              <w:t xml:space="preserve"> </w:t>
            </w:r>
          </w:p>
        </w:tc>
        <w:tc>
          <w:tcPr>
            <w:tcW w:w="1211" w:type="dxa"/>
            <w:vMerge w:val="continue"/>
            <w:noWrap/>
            <w:vAlign w:val="center"/>
          </w:tcPr>
          <w:p>
            <w:pPr>
              <w:widowControl/>
              <w:jc w:val="center"/>
              <w:textAlignment w:val="center"/>
              <w:rPr>
                <w:rFonts w:ascii="Times New Roman" w:hAnsi="Times New Roman" w:cs="Times New Roman"/>
                <w:color w:val="000000"/>
                <w:kern w:val="0"/>
                <w:sz w:val="21"/>
                <w:szCs w:val="21"/>
                <w:lang w:bidi="ar"/>
              </w:rPr>
            </w:pPr>
          </w:p>
        </w:tc>
        <w:tc>
          <w:tcPr>
            <w:tcW w:w="1211" w:type="dxa"/>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86.643</w:t>
            </w:r>
          </w:p>
        </w:tc>
        <w:tc>
          <w:tcPr>
            <w:tcW w:w="1075" w:type="dxa"/>
            <w:vMerge w:val="restart"/>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87.773</w:t>
            </w:r>
          </w:p>
        </w:tc>
        <w:tc>
          <w:tcPr>
            <w:tcW w:w="1087" w:type="dxa"/>
            <w:vMerge w:val="continue"/>
            <w:noWrap/>
            <w:vAlign w:val="center"/>
          </w:tcPr>
          <w:p>
            <w:pPr>
              <w:jc w:val="center"/>
              <w:rPr>
                <w:rFonts w:ascii="Times New Roman" w:hAnsi="Times New Roman" w:cs="Times New Roman"/>
                <w:color w:val="000000"/>
                <w:sz w:val="21"/>
                <w:szCs w:val="21"/>
              </w:rPr>
            </w:pPr>
          </w:p>
        </w:tc>
        <w:tc>
          <w:tcPr>
            <w:tcW w:w="689" w:type="dxa"/>
            <w:vMerge w:val="continue"/>
            <w:noWrap/>
            <w:vAlign w:val="center"/>
          </w:tcPr>
          <w:p>
            <w:pPr>
              <w:jc w:val="center"/>
              <w:rPr>
                <w:rFonts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76" w:type="dxa"/>
            <w:vMerge w:val="continue"/>
            <w:noWrap/>
            <w:vAlign w:val="center"/>
          </w:tcPr>
          <w:p>
            <w:pPr>
              <w:widowControl/>
              <w:jc w:val="center"/>
              <w:textAlignment w:val="center"/>
              <w:rPr>
                <w:rFonts w:ascii="Times New Roman" w:hAnsi="Times New Roman" w:cs="Times New Roman"/>
                <w:color w:val="000000"/>
                <w:sz w:val="21"/>
                <w:szCs w:val="21"/>
              </w:rPr>
            </w:pPr>
          </w:p>
        </w:tc>
        <w:tc>
          <w:tcPr>
            <w:tcW w:w="1060" w:type="dxa"/>
            <w:noWrap/>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kern w:val="0"/>
                <w:sz w:val="21"/>
                <w:szCs w:val="21"/>
                <w:lang w:bidi="ar"/>
              </w:rPr>
              <w:t>0.0000</w:t>
            </w:r>
          </w:p>
        </w:tc>
        <w:tc>
          <w:tcPr>
            <w:tcW w:w="1116" w:type="dxa"/>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4.4173</w:t>
            </w:r>
            <w:r>
              <w:rPr>
                <w:rFonts w:hint="default" w:ascii="Times New Roman" w:hAnsi="Times New Roman" w:cs="Times New Roman"/>
                <w:color w:val="000000"/>
                <w:kern w:val="0"/>
                <w:sz w:val="21"/>
                <w:szCs w:val="21"/>
                <w:lang w:bidi="ar"/>
              </w:rPr>
              <w:t xml:space="preserve"> </w:t>
            </w:r>
          </w:p>
        </w:tc>
        <w:tc>
          <w:tcPr>
            <w:tcW w:w="1211" w:type="dxa"/>
            <w:vMerge w:val="continue"/>
            <w:noWrap/>
            <w:vAlign w:val="center"/>
          </w:tcPr>
          <w:p>
            <w:pPr>
              <w:widowControl/>
              <w:jc w:val="center"/>
              <w:textAlignment w:val="center"/>
              <w:rPr>
                <w:rFonts w:ascii="Times New Roman" w:hAnsi="Times New Roman" w:cs="Times New Roman"/>
                <w:color w:val="000000"/>
                <w:kern w:val="0"/>
                <w:sz w:val="21"/>
                <w:szCs w:val="21"/>
                <w:lang w:bidi="ar"/>
              </w:rPr>
            </w:pPr>
          </w:p>
        </w:tc>
        <w:tc>
          <w:tcPr>
            <w:tcW w:w="1211" w:type="dxa"/>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89.003</w:t>
            </w:r>
          </w:p>
        </w:tc>
        <w:tc>
          <w:tcPr>
            <w:tcW w:w="1075" w:type="dxa"/>
            <w:vMerge w:val="continue"/>
            <w:noWrap/>
            <w:vAlign w:val="center"/>
          </w:tcPr>
          <w:p>
            <w:pPr>
              <w:jc w:val="center"/>
              <w:rPr>
                <w:rFonts w:ascii="Times New Roman" w:hAnsi="Times New Roman" w:cs="Times New Roman"/>
                <w:color w:val="000000"/>
                <w:sz w:val="21"/>
                <w:szCs w:val="21"/>
              </w:rPr>
            </w:pPr>
          </w:p>
        </w:tc>
        <w:tc>
          <w:tcPr>
            <w:tcW w:w="1087" w:type="dxa"/>
            <w:vMerge w:val="continue"/>
            <w:noWrap/>
            <w:vAlign w:val="center"/>
          </w:tcPr>
          <w:p>
            <w:pPr>
              <w:jc w:val="center"/>
              <w:rPr>
                <w:rFonts w:ascii="Times New Roman" w:hAnsi="Times New Roman" w:cs="Times New Roman"/>
                <w:color w:val="000000"/>
                <w:sz w:val="21"/>
                <w:szCs w:val="21"/>
              </w:rPr>
            </w:pPr>
          </w:p>
        </w:tc>
        <w:tc>
          <w:tcPr>
            <w:tcW w:w="689" w:type="dxa"/>
            <w:vMerge w:val="continue"/>
            <w:noWrap/>
            <w:vAlign w:val="center"/>
          </w:tcPr>
          <w:p>
            <w:pPr>
              <w:jc w:val="center"/>
              <w:rPr>
                <w:rFonts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76" w:type="dxa"/>
            <w:vMerge w:val="continue"/>
            <w:noWrap/>
            <w:vAlign w:val="center"/>
          </w:tcPr>
          <w:p>
            <w:pPr>
              <w:widowControl/>
              <w:jc w:val="center"/>
              <w:textAlignment w:val="center"/>
              <w:rPr>
                <w:rFonts w:ascii="Times New Roman" w:hAnsi="Times New Roman" w:cs="Times New Roman"/>
                <w:color w:val="000000"/>
                <w:sz w:val="21"/>
                <w:szCs w:val="21"/>
              </w:rPr>
            </w:pPr>
          </w:p>
        </w:tc>
        <w:tc>
          <w:tcPr>
            <w:tcW w:w="1060" w:type="dxa"/>
            <w:noWrap/>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kern w:val="0"/>
                <w:sz w:val="21"/>
                <w:szCs w:val="21"/>
                <w:lang w:bidi="ar"/>
              </w:rPr>
              <w:t>0.0000</w:t>
            </w:r>
          </w:p>
        </w:tc>
        <w:tc>
          <w:tcPr>
            <w:tcW w:w="1116" w:type="dxa"/>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5.0799</w:t>
            </w:r>
            <w:r>
              <w:rPr>
                <w:rFonts w:hint="default" w:ascii="Times New Roman" w:hAnsi="Times New Roman" w:cs="Times New Roman"/>
                <w:color w:val="000000"/>
                <w:kern w:val="0"/>
                <w:sz w:val="21"/>
                <w:szCs w:val="21"/>
                <w:lang w:bidi="ar"/>
              </w:rPr>
              <w:t xml:space="preserve"> </w:t>
            </w:r>
          </w:p>
        </w:tc>
        <w:tc>
          <w:tcPr>
            <w:tcW w:w="1211" w:type="dxa"/>
            <w:vMerge w:val="continue"/>
            <w:noWrap/>
            <w:vAlign w:val="center"/>
          </w:tcPr>
          <w:p>
            <w:pPr>
              <w:widowControl/>
              <w:jc w:val="center"/>
              <w:textAlignment w:val="center"/>
              <w:rPr>
                <w:rFonts w:ascii="Times New Roman" w:hAnsi="Times New Roman" w:cs="Times New Roman"/>
                <w:color w:val="000000"/>
                <w:kern w:val="0"/>
                <w:sz w:val="21"/>
                <w:szCs w:val="21"/>
                <w:lang w:bidi="ar"/>
              </w:rPr>
            </w:pPr>
          </w:p>
        </w:tc>
        <w:tc>
          <w:tcPr>
            <w:tcW w:w="1211" w:type="dxa"/>
            <w:noWrap/>
            <w:vAlign w:val="center"/>
          </w:tcPr>
          <w:p>
            <w:pPr>
              <w:widowControl/>
              <w:jc w:val="center"/>
              <w:textAlignment w:val="center"/>
              <w:rPr>
                <w:rFonts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102.</w:t>
            </w:r>
            <w:r>
              <w:rPr>
                <w:rFonts w:hint="eastAsia" w:ascii="Times New Roman" w:hAnsi="Times New Roman" w:cs="Times New Roman"/>
                <w:color w:val="000000"/>
                <w:kern w:val="0"/>
                <w:szCs w:val="21"/>
                <w:lang w:bidi="ar"/>
              </w:rPr>
              <w:t>353</w:t>
            </w:r>
          </w:p>
        </w:tc>
        <w:tc>
          <w:tcPr>
            <w:tcW w:w="1075" w:type="dxa"/>
            <w:vMerge w:val="restart"/>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100.385</w:t>
            </w:r>
          </w:p>
        </w:tc>
        <w:tc>
          <w:tcPr>
            <w:tcW w:w="1087" w:type="dxa"/>
            <w:vMerge w:val="continue"/>
            <w:noWrap/>
            <w:vAlign w:val="center"/>
          </w:tcPr>
          <w:p>
            <w:pPr>
              <w:jc w:val="center"/>
              <w:rPr>
                <w:rFonts w:ascii="Times New Roman" w:hAnsi="Times New Roman" w:cs="Times New Roman"/>
                <w:color w:val="000000"/>
                <w:sz w:val="21"/>
                <w:szCs w:val="21"/>
              </w:rPr>
            </w:pPr>
          </w:p>
        </w:tc>
        <w:tc>
          <w:tcPr>
            <w:tcW w:w="689" w:type="dxa"/>
            <w:vMerge w:val="continue"/>
            <w:noWrap/>
            <w:vAlign w:val="center"/>
          </w:tcPr>
          <w:p>
            <w:pPr>
              <w:jc w:val="center"/>
              <w:rPr>
                <w:rFonts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76" w:type="dxa"/>
            <w:vMerge w:val="continue"/>
            <w:noWrap/>
            <w:vAlign w:val="center"/>
          </w:tcPr>
          <w:p>
            <w:pPr>
              <w:widowControl/>
              <w:jc w:val="center"/>
              <w:textAlignment w:val="center"/>
              <w:rPr>
                <w:rFonts w:ascii="Times New Roman" w:hAnsi="Times New Roman" w:cs="Times New Roman"/>
                <w:color w:val="000000"/>
                <w:sz w:val="21"/>
                <w:szCs w:val="21"/>
              </w:rPr>
            </w:pPr>
          </w:p>
        </w:tc>
        <w:tc>
          <w:tcPr>
            <w:tcW w:w="1060" w:type="dxa"/>
            <w:noWrap/>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kern w:val="0"/>
                <w:sz w:val="21"/>
                <w:szCs w:val="21"/>
                <w:lang w:bidi="ar"/>
              </w:rPr>
              <w:t>0.0000</w:t>
            </w:r>
          </w:p>
        </w:tc>
        <w:tc>
          <w:tcPr>
            <w:tcW w:w="1116" w:type="dxa"/>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4.8846</w:t>
            </w:r>
            <w:r>
              <w:rPr>
                <w:rFonts w:hint="default" w:ascii="Times New Roman" w:hAnsi="Times New Roman" w:cs="Times New Roman"/>
                <w:color w:val="000000"/>
                <w:kern w:val="0"/>
                <w:sz w:val="21"/>
                <w:szCs w:val="21"/>
                <w:lang w:bidi="ar"/>
              </w:rPr>
              <w:t xml:space="preserve"> </w:t>
            </w:r>
          </w:p>
        </w:tc>
        <w:tc>
          <w:tcPr>
            <w:tcW w:w="1211" w:type="dxa"/>
            <w:vMerge w:val="continue"/>
            <w:noWrap/>
            <w:vAlign w:val="center"/>
          </w:tcPr>
          <w:p>
            <w:pPr>
              <w:widowControl/>
              <w:jc w:val="center"/>
              <w:textAlignment w:val="center"/>
              <w:rPr>
                <w:rFonts w:ascii="Times New Roman" w:hAnsi="Times New Roman" w:cs="Times New Roman"/>
                <w:color w:val="000000"/>
                <w:kern w:val="0"/>
                <w:sz w:val="21"/>
                <w:szCs w:val="21"/>
                <w:lang w:bidi="ar"/>
              </w:rPr>
            </w:pPr>
          </w:p>
        </w:tc>
        <w:tc>
          <w:tcPr>
            <w:tcW w:w="1211" w:type="dxa"/>
            <w:noWrap/>
            <w:vAlign w:val="center"/>
          </w:tcPr>
          <w:p>
            <w:pPr>
              <w:widowControl/>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kern w:val="0"/>
                <w:szCs w:val="21"/>
                <w:lang w:bidi="ar"/>
              </w:rPr>
              <w:t>98.417</w:t>
            </w:r>
          </w:p>
        </w:tc>
        <w:tc>
          <w:tcPr>
            <w:tcW w:w="1075" w:type="dxa"/>
            <w:vMerge w:val="continue"/>
            <w:noWrap/>
            <w:vAlign w:val="center"/>
          </w:tcPr>
          <w:p>
            <w:pPr>
              <w:jc w:val="center"/>
              <w:rPr>
                <w:rFonts w:ascii="Times New Roman" w:hAnsi="Times New Roman" w:cs="Times New Roman"/>
                <w:color w:val="000000"/>
                <w:sz w:val="21"/>
                <w:szCs w:val="21"/>
              </w:rPr>
            </w:pPr>
          </w:p>
        </w:tc>
        <w:tc>
          <w:tcPr>
            <w:tcW w:w="1087" w:type="dxa"/>
            <w:vMerge w:val="continue"/>
            <w:noWrap/>
            <w:vAlign w:val="center"/>
          </w:tcPr>
          <w:p>
            <w:pPr>
              <w:jc w:val="center"/>
              <w:rPr>
                <w:rFonts w:ascii="Times New Roman" w:hAnsi="Times New Roman" w:cs="Times New Roman"/>
                <w:color w:val="000000"/>
                <w:sz w:val="21"/>
                <w:szCs w:val="21"/>
              </w:rPr>
            </w:pPr>
          </w:p>
        </w:tc>
        <w:tc>
          <w:tcPr>
            <w:tcW w:w="689" w:type="dxa"/>
            <w:vMerge w:val="continue"/>
            <w:noWrap/>
            <w:vAlign w:val="center"/>
          </w:tcPr>
          <w:p>
            <w:pPr>
              <w:jc w:val="center"/>
              <w:rPr>
                <w:rFonts w:ascii="Times New Roman" w:hAnsi="Times New Roman" w:cs="Times New Roman"/>
                <w:color w:val="000000"/>
                <w:sz w:val="21"/>
                <w:szCs w:val="21"/>
              </w:rPr>
            </w:pPr>
          </w:p>
        </w:tc>
      </w:tr>
      <w:bookmarkEnd w:id="14"/>
    </w:tbl>
    <w:p>
      <w:pPr>
        <w:spacing w:line="360" w:lineRule="auto"/>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亚硫酸根测定的</w:t>
      </w:r>
      <w:r>
        <w:rPr>
          <w:rFonts w:ascii="Times New Roman" w:hAnsi="Times New Roman" w:cs="Times New Roman"/>
          <w:sz w:val="24"/>
          <w:szCs w:val="24"/>
        </w:rPr>
        <w:t>平均回收率</w:t>
      </w:r>
      <w:r>
        <w:rPr>
          <w:rFonts w:hint="eastAsia" w:ascii="Times New Roman" w:hAnsi="Times New Roman" w:cs="Times New Roman"/>
          <w:sz w:val="24"/>
          <w:szCs w:val="24"/>
        </w:rPr>
        <w:t>93.3</w:t>
      </w:r>
      <w:r>
        <w:rPr>
          <w:rFonts w:ascii="Times New Roman" w:hAnsi="Times New Roman" w:cs="Times New Roman"/>
          <w:sz w:val="24"/>
          <w:szCs w:val="24"/>
        </w:rPr>
        <w:t>%，RSD为</w:t>
      </w:r>
      <w:r>
        <w:rPr>
          <w:rFonts w:hint="eastAsia" w:ascii="Times New Roman" w:hAnsi="Times New Roman" w:cs="Times New Roman"/>
          <w:sz w:val="24"/>
          <w:szCs w:val="24"/>
        </w:rPr>
        <w:t>6.0</w:t>
      </w:r>
      <w:r>
        <w:rPr>
          <w:rFonts w:ascii="Times New Roman" w:hAnsi="Times New Roman" w:cs="Times New Roman"/>
          <w:sz w:val="24"/>
          <w:szCs w:val="24"/>
        </w:rPr>
        <w:t>%，准确度符合方法学的要求。</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2.3.3.7稳定性试验</w:t>
      </w:r>
      <w:r>
        <w:rPr>
          <w:rFonts w:ascii="Times New Roman" w:hAnsi="Times New Roman" w:cs="Times New Roman"/>
          <w:sz w:val="24"/>
          <w:szCs w:val="24"/>
        </w:rPr>
        <w:t>结果</w:t>
      </w:r>
    </w:p>
    <w:p>
      <w:pPr>
        <w:snapToGrid w:val="0"/>
        <w:spacing w:line="360" w:lineRule="auto"/>
        <w:jc w:val="center"/>
        <w:rPr>
          <w:rFonts w:ascii="宋体" w:hAnsi="宋体" w:cs="Times New Roman"/>
          <w:bCs/>
          <w:szCs w:val="21"/>
        </w:rPr>
      </w:pPr>
      <w:r>
        <w:rPr>
          <w:rFonts w:ascii="宋体" w:hAnsi="宋体" w:cs="Times New Roman"/>
          <w:bCs/>
          <w:sz w:val="21"/>
          <w:szCs w:val="21"/>
        </w:rPr>
        <w:t>表</w:t>
      </w:r>
      <w:r>
        <w:rPr>
          <w:rFonts w:hint="eastAsia" w:ascii="宋体" w:hAnsi="宋体" w:cs="Times New Roman"/>
          <w:bCs/>
          <w:sz w:val="21"/>
          <w:szCs w:val="21"/>
        </w:rPr>
        <w:t>8</w:t>
      </w:r>
      <w:r>
        <w:rPr>
          <w:rFonts w:ascii="宋体" w:hAnsi="宋体" w:cs="Times New Roman"/>
          <w:bCs/>
          <w:szCs w:val="21"/>
        </w:rPr>
        <w:t xml:space="preserve">  </w:t>
      </w:r>
      <w:r>
        <w:rPr>
          <w:rFonts w:hint="eastAsia" w:ascii="宋体" w:hAnsi="宋体" w:cs="Times New Roman"/>
          <w:bCs/>
          <w:sz w:val="21"/>
          <w:szCs w:val="21"/>
        </w:rPr>
        <w:t>稳定性</w:t>
      </w:r>
      <w:r>
        <w:rPr>
          <w:rFonts w:ascii="宋体" w:hAnsi="宋体" w:cs="Times New Roman"/>
          <w:bCs/>
          <w:sz w:val="21"/>
          <w:szCs w:val="21"/>
        </w:rPr>
        <w:t>结果</w:t>
      </w:r>
    </w:p>
    <w:tbl>
      <w:tblPr>
        <w:tblStyle w:val="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8"/>
        <w:gridCol w:w="1218"/>
        <w:gridCol w:w="1218"/>
        <w:gridCol w:w="1218"/>
        <w:gridCol w:w="1218"/>
        <w:gridCol w:w="1219"/>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进样时间</w:t>
            </w:r>
          </w:p>
        </w:tc>
        <w:tc>
          <w:tcPr>
            <w:tcW w:w="1218" w:type="dxa"/>
            <w:shd w:val="clear" w:color="auto" w:fill="auto"/>
            <w:noWrap w:val="0"/>
            <w:vAlign w:val="top"/>
          </w:tcPr>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0h</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4h</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13h</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33h</w:t>
            </w:r>
          </w:p>
        </w:tc>
        <w:tc>
          <w:tcPr>
            <w:tcW w:w="1219"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37h</w:t>
            </w:r>
          </w:p>
        </w:tc>
        <w:tc>
          <w:tcPr>
            <w:tcW w:w="1219" w:type="dxa"/>
            <w:shd w:val="clear" w:color="auto" w:fill="auto"/>
            <w:noWrap w:val="0"/>
            <w:vAlign w:val="top"/>
          </w:tcPr>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RSD（%）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峰面积</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Cs w:val="21"/>
              </w:rPr>
              <w:t>0.04744</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Cs w:val="21"/>
              </w:rPr>
              <w:t>0.04546</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Cs w:val="21"/>
              </w:rPr>
              <w:t>0.04553</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Cs w:val="21"/>
              </w:rPr>
              <w:t>0.04647</w:t>
            </w:r>
          </w:p>
        </w:tc>
        <w:tc>
          <w:tcPr>
            <w:tcW w:w="1219"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Cs w:val="21"/>
              </w:rPr>
              <w:t>0.04371</w:t>
            </w:r>
          </w:p>
        </w:tc>
        <w:tc>
          <w:tcPr>
            <w:tcW w:w="1219" w:type="dxa"/>
            <w:shd w:val="clear" w:color="auto" w:fill="auto"/>
            <w:noWrap w:val="0"/>
            <w:vAlign w:val="top"/>
          </w:tcPr>
          <w:p>
            <w:pPr>
              <w:spacing w:line="360" w:lineRule="auto"/>
              <w:jc w:val="center"/>
              <w:rPr>
                <w:rFonts w:ascii="Times New Roman" w:hAnsi="Times New Roman" w:cs="Times New Roman"/>
                <w:sz w:val="24"/>
                <w:szCs w:val="24"/>
              </w:rPr>
            </w:pPr>
            <w:r>
              <w:rPr>
                <w:rFonts w:hint="eastAsia" w:ascii="Times New Roman" w:hAnsi="Times New Roman" w:cs="Times New Roman"/>
                <w:szCs w:val="21"/>
              </w:rPr>
              <w:t>3.0</w:t>
            </w:r>
          </w:p>
        </w:tc>
      </w:tr>
    </w:tbl>
    <w:p>
      <w:pPr>
        <w:snapToGrid w:val="0"/>
        <w:spacing w:line="360" w:lineRule="auto"/>
        <w:jc w:val="center"/>
        <w:rPr>
          <w:rFonts w:ascii="宋体" w:hAnsi="宋体" w:cs="Times New Roman"/>
          <w:bCs/>
          <w:sz w:val="21"/>
          <w:szCs w:val="21"/>
        </w:rPr>
      </w:pPr>
    </w:p>
    <w:p>
      <w:pPr>
        <w:spacing w:line="360" w:lineRule="auto"/>
        <w:ind w:firstLine="480" w:firstLineChars="200"/>
        <w:rPr>
          <w:rFonts w:hint="eastAsia" w:ascii="Times New Roman" w:hAnsi="Times New Roman" w:cs="Times New Roman"/>
          <w:sz w:val="24"/>
          <w:szCs w:val="24"/>
        </w:rPr>
      </w:pPr>
      <w:bookmarkStart w:id="15" w:name="_Hlk161352250"/>
      <w:r>
        <w:rPr>
          <w:rFonts w:hint="eastAsia" w:ascii="Times New Roman" w:hAnsi="Times New Roman" w:cs="Times New Roman"/>
          <w:sz w:val="24"/>
          <w:szCs w:val="24"/>
        </w:rPr>
        <w:t>亚硫酸根在3</w:t>
      </w:r>
      <w:r>
        <w:rPr>
          <w:rFonts w:ascii="Times New Roman" w:hAnsi="Times New Roman" w:cs="Times New Roman"/>
          <w:sz w:val="24"/>
          <w:szCs w:val="24"/>
        </w:rPr>
        <w:t>7</w:t>
      </w:r>
      <w:r>
        <w:rPr>
          <w:rFonts w:hint="eastAsia" w:ascii="Times New Roman" w:hAnsi="Times New Roman" w:cs="Times New Roman"/>
          <w:sz w:val="24"/>
          <w:szCs w:val="24"/>
        </w:rPr>
        <w:t>小时内测定结果稳定，样品稳定性</w:t>
      </w:r>
      <w:r>
        <w:rPr>
          <w:rFonts w:ascii="Times New Roman" w:hAnsi="Times New Roman" w:cs="Times New Roman"/>
          <w:sz w:val="24"/>
          <w:szCs w:val="24"/>
        </w:rPr>
        <w:t>符合方法学的要求。</w:t>
      </w:r>
      <w:bookmarkEnd w:id="15"/>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2.3.3.8</w:t>
      </w:r>
      <w:r>
        <w:rPr>
          <w:rFonts w:ascii="Times New Roman" w:hAnsi="Times New Roman" w:cs="Times New Roman"/>
          <w:sz w:val="24"/>
          <w:szCs w:val="24"/>
        </w:rPr>
        <w:t>检</w:t>
      </w:r>
      <w:r>
        <w:rPr>
          <w:rFonts w:hint="eastAsia" w:ascii="Times New Roman" w:hAnsi="Times New Roman" w:cs="Times New Roman"/>
          <w:sz w:val="24"/>
          <w:szCs w:val="24"/>
        </w:rPr>
        <w:t>测</w:t>
      </w:r>
      <w:r>
        <w:rPr>
          <w:rFonts w:ascii="Times New Roman" w:hAnsi="Times New Roman" w:cs="Times New Roman"/>
          <w:sz w:val="24"/>
          <w:szCs w:val="24"/>
        </w:rPr>
        <w:t>限和定量限</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取</w:t>
      </w:r>
      <w:r>
        <w:rPr>
          <w:rFonts w:ascii="Times New Roman" w:hAnsi="Times New Roman" w:cs="Times New Roman"/>
          <w:sz w:val="24"/>
          <w:szCs w:val="24"/>
        </w:rPr>
        <w:t>检</w:t>
      </w:r>
      <w:r>
        <w:rPr>
          <w:rFonts w:hint="eastAsia" w:ascii="Times New Roman" w:hAnsi="Times New Roman" w:cs="Times New Roman"/>
          <w:sz w:val="24"/>
          <w:szCs w:val="24"/>
        </w:rPr>
        <w:t>测</w:t>
      </w:r>
      <w:r>
        <w:rPr>
          <w:rFonts w:ascii="Times New Roman" w:hAnsi="Times New Roman" w:cs="Times New Roman"/>
          <w:sz w:val="24"/>
          <w:szCs w:val="24"/>
        </w:rPr>
        <w:t>限和定量限</w:t>
      </w:r>
      <w:r>
        <w:rPr>
          <w:rFonts w:hint="eastAsia" w:ascii="Times New Roman" w:hAnsi="Times New Roman" w:cs="Times New Roman"/>
          <w:sz w:val="24"/>
          <w:szCs w:val="24"/>
        </w:rPr>
        <w:t>溶液，按亚硫酸根色谱峰信噪比计算定量限、检测限，结果见表9。</w:t>
      </w:r>
    </w:p>
    <w:p>
      <w:pPr>
        <w:snapToGrid w:val="0"/>
        <w:spacing w:line="360" w:lineRule="auto"/>
        <w:jc w:val="center"/>
        <w:rPr>
          <w:rFonts w:ascii="宋体" w:hAnsi="宋体" w:cs="Times New Roman"/>
          <w:bCs/>
          <w:sz w:val="21"/>
          <w:szCs w:val="21"/>
        </w:rPr>
      </w:pPr>
      <w:r>
        <w:rPr>
          <w:rFonts w:ascii="宋体" w:hAnsi="宋体" w:cs="Times New Roman"/>
          <w:bCs/>
          <w:sz w:val="21"/>
          <w:szCs w:val="21"/>
        </w:rPr>
        <w:t>表</w:t>
      </w:r>
      <w:r>
        <w:rPr>
          <w:rFonts w:hint="eastAsia" w:ascii="宋体" w:hAnsi="宋体" w:cs="Times New Roman"/>
          <w:bCs/>
          <w:sz w:val="21"/>
          <w:szCs w:val="21"/>
        </w:rPr>
        <w:t>9</w:t>
      </w:r>
      <w:r>
        <w:rPr>
          <w:rFonts w:ascii="宋体" w:hAnsi="宋体" w:cs="Times New Roman"/>
          <w:bCs/>
          <w:szCs w:val="21"/>
        </w:rPr>
        <w:t xml:space="preserve">  </w:t>
      </w:r>
      <w:r>
        <w:rPr>
          <w:rFonts w:hint="eastAsia" w:ascii="宋体" w:hAnsi="宋体" w:cs="Times New Roman"/>
          <w:bCs/>
          <w:szCs w:val="21"/>
        </w:rPr>
        <w:t>亚硫酸根</w:t>
      </w:r>
      <w:r>
        <w:rPr>
          <w:rFonts w:ascii="宋体" w:hAnsi="宋体" w:cs="Times New Roman"/>
          <w:bCs/>
          <w:sz w:val="21"/>
          <w:szCs w:val="21"/>
        </w:rPr>
        <w:t>检</w:t>
      </w:r>
      <w:r>
        <w:rPr>
          <w:rFonts w:hint="eastAsia" w:ascii="宋体" w:hAnsi="宋体" w:cs="Times New Roman"/>
          <w:bCs/>
          <w:szCs w:val="21"/>
        </w:rPr>
        <w:t>测</w:t>
      </w:r>
      <w:r>
        <w:rPr>
          <w:rFonts w:ascii="宋体" w:hAnsi="宋体" w:cs="Times New Roman"/>
          <w:bCs/>
          <w:sz w:val="21"/>
          <w:szCs w:val="21"/>
        </w:rPr>
        <w:t>限和定量限结果</w:t>
      </w:r>
    </w:p>
    <w:tbl>
      <w:tblPr>
        <w:tblStyle w:val="2"/>
        <w:tblW w:w="5000" w:type="pct"/>
        <w:tblInd w:w="-113" w:type="dxa"/>
        <w:tblLayout w:type="autofit"/>
        <w:tblCellMar>
          <w:top w:w="0" w:type="dxa"/>
          <w:left w:w="108" w:type="dxa"/>
          <w:bottom w:w="0" w:type="dxa"/>
          <w:right w:w="108" w:type="dxa"/>
        </w:tblCellMar>
      </w:tblPr>
      <w:tblGrid>
        <w:gridCol w:w="1658"/>
        <w:gridCol w:w="2506"/>
        <w:gridCol w:w="1272"/>
        <w:gridCol w:w="1637"/>
        <w:gridCol w:w="1455"/>
      </w:tblGrid>
      <w:tr>
        <w:tblPrEx>
          <w:tblCellMar>
            <w:top w:w="0" w:type="dxa"/>
            <w:left w:w="108" w:type="dxa"/>
            <w:bottom w:w="0" w:type="dxa"/>
            <w:right w:w="108" w:type="dxa"/>
          </w:tblCellMar>
        </w:tblPrEx>
        <w:trPr>
          <w:trHeight w:val="577" w:hRule="atLeast"/>
        </w:trPr>
        <w:tc>
          <w:tcPr>
            <w:tcW w:w="972" w:type="pct"/>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ascii="Times New Roman" w:hAnsi="Times New Roman" w:cs="Times New Roman"/>
                <w:color w:val="000000"/>
                <w:kern w:val="0"/>
                <w:sz w:val="21"/>
                <w:szCs w:val="21"/>
                <w:lang w:bidi="ar"/>
              </w:rPr>
            </w:pPr>
            <w:bookmarkStart w:id="16" w:name="_Hlk161352314"/>
            <w:r>
              <w:rPr>
                <w:rFonts w:ascii="Times New Roman" w:hAnsi="Times New Roman" w:cs="Times New Roman"/>
                <w:sz w:val="21"/>
                <w:szCs w:val="21"/>
              </w:rPr>
              <w:t>名称</w:t>
            </w:r>
          </w:p>
        </w:tc>
        <w:tc>
          <w:tcPr>
            <w:tcW w:w="1469" w:type="pct"/>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溶液浓度</w:t>
            </w:r>
            <w:r>
              <w:rPr>
                <w:rFonts w:hint="eastAsia" w:ascii="Times New Roman" w:hAnsi="Times New Roman" w:cs="Times New Roman"/>
                <w:color w:val="000000"/>
                <w:kern w:val="0"/>
                <w:szCs w:val="21"/>
                <w:lang w:bidi="ar"/>
              </w:rPr>
              <w:t>（以二氧化硫计）</w:t>
            </w:r>
            <w:r>
              <w:rPr>
                <w:rFonts w:ascii="Times New Roman" w:hAnsi="Times New Roman" w:cs="Times New Roman"/>
                <w:color w:val="000000"/>
                <w:kern w:val="0"/>
                <w:sz w:val="21"/>
                <w:szCs w:val="21"/>
                <w:lang w:bidi="ar"/>
              </w:rPr>
              <w:t>（</w:t>
            </w:r>
            <w:r>
              <w:rPr>
                <w:rFonts w:hint="default" w:ascii="Times New Roman" w:hAnsi="Times New Roman" w:cs="Times New Roman"/>
                <w:sz w:val="21"/>
                <w:szCs w:val="21"/>
              </w:rPr>
              <w:t>μ</w:t>
            </w:r>
            <w:r>
              <w:rPr>
                <w:rFonts w:ascii="Times New Roman" w:hAnsi="Times New Roman" w:cs="Times New Roman"/>
                <w:sz w:val="21"/>
                <w:szCs w:val="21"/>
              </w:rPr>
              <w:t>g/ml</w:t>
            </w:r>
            <w:r>
              <w:rPr>
                <w:rFonts w:ascii="Times New Roman" w:hAnsi="Times New Roman" w:cs="Times New Roman"/>
                <w:color w:val="000000"/>
                <w:kern w:val="0"/>
                <w:sz w:val="21"/>
                <w:szCs w:val="21"/>
                <w:lang w:bidi="ar"/>
              </w:rPr>
              <w:t>）</w:t>
            </w:r>
          </w:p>
        </w:tc>
        <w:tc>
          <w:tcPr>
            <w:tcW w:w="746" w:type="pct"/>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信噪比</w:t>
            </w:r>
          </w:p>
        </w:tc>
        <w:tc>
          <w:tcPr>
            <w:tcW w:w="1812" w:type="pct"/>
            <w:gridSpan w:val="2"/>
            <w:tcBorders>
              <w:top w:val="single" w:color="000000" w:sz="4" w:space="0"/>
              <w:left w:val="single" w:color="000000" w:sz="4" w:space="0"/>
              <w:bottom w:val="single" w:color="000000" w:sz="4" w:space="0"/>
              <w:right w:val="single" w:color="000000" w:sz="4" w:space="0"/>
            </w:tcBorders>
            <w:noWrap w:val="0"/>
            <w:vAlign w:val="center"/>
          </w:tcPr>
          <w:p>
            <w:pPr>
              <w:rPr>
                <w:rFonts w:cs="Times New Roman"/>
                <w:szCs w:val="22"/>
              </w:rPr>
            </w:pPr>
            <w:r>
              <w:rPr>
                <w:rFonts w:hint="default" w:ascii="Times New Roman" w:hAnsi="Times New Roman" w:cs="Times New Roman"/>
                <w:color w:val="000000"/>
                <w:kern w:val="0"/>
                <w:sz w:val="21"/>
                <w:szCs w:val="21"/>
                <w:lang w:bidi="ar"/>
              </w:rPr>
              <w:t>测定结果</w:t>
            </w:r>
          </w:p>
          <w:p>
            <w:pPr>
              <w:widowControl/>
              <w:jc w:val="center"/>
              <w:textAlignment w:val="center"/>
              <w:rPr>
                <w:rFonts w:ascii="Times New Roman" w:hAnsi="Times New Roman" w:cs="Times New Roman"/>
                <w:color w:val="000000"/>
                <w:kern w:val="0"/>
                <w:sz w:val="21"/>
                <w:szCs w:val="21"/>
                <w:lang w:bidi="ar"/>
              </w:rPr>
            </w:pPr>
          </w:p>
        </w:tc>
      </w:tr>
      <w:tr>
        <w:tblPrEx>
          <w:tblCellMar>
            <w:top w:w="0" w:type="dxa"/>
            <w:left w:w="108" w:type="dxa"/>
            <w:bottom w:w="0" w:type="dxa"/>
            <w:right w:w="108" w:type="dxa"/>
          </w:tblCellMar>
        </w:tblPrEx>
        <w:trPr>
          <w:trHeight w:val="577" w:hRule="atLeast"/>
        </w:trPr>
        <w:tc>
          <w:tcPr>
            <w:tcW w:w="972" w:type="pct"/>
            <w:vMerge w:val="continue"/>
            <w:tcBorders>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s="Times New Roman"/>
                <w:sz w:val="21"/>
                <w:szCs w:val="21"/>
              </w:rPr>
            </w:pPr>
          </w:p>
        </w:tc>
        <w:tc>
          <w:tcPr>
            <w:tcW w:w="1469" w:type="pct"/>
            <w:vMerge w:val="continue"/>
            <w:tcBorders>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746" w:type="pct"/>
            <w:vMerge w:val="continue"/>
            <w:tcBorders>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s="Times New Roman"/>
                <w:color w:val="000000"/>
                <w:kern w:val="0"/>
                <w:sz w:val="21"/>
                <w:szCs w:val="21"/>
                <w:lang w:bidi="ar"/>
              </w:rPr>
            </w:pPr>
          </w:p>
        </w:tc>
        <w:tc>
          <w:tcPr>
            <w:tcW w:w="96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w:t>
            </w:r>
            <w:r>
              <w:rPr>
                <w:rFonts w:hint="default" w:ascii="Times New Roman" w:hAnsi="Times New Roman" w:cs="Times New Roman"/>
                <w:color w:val="000000"/>
                <w:kern w:val="0"/>
                <w:sz w:val="21"/>
                <w:szCs w:val="21"/>
                <w:lang w:bidi="ar"/>
              </w:rPr>
              <w:t>μ</w:t>
            </w:r>
            <w:r>
              <w:rPr>
                <w:rFonts w:ascii="Times New Roman" w:hAnsi="Times New Roman" w:cs="Times New Roman"/>
                <w:color w:val="000000"/>
                <w:kern w:val="0"/>
                <w:sz w:val="21"/>
                <w:szCs w:val="21"/>
                <w:lang w:bidi="ar"/>
              </w:rPr>
              <w:t>g/ml）</w:t>
            </w:r>
          </w:p>
        </w:tc>
        <w:tc>
          <w:tcPr>
            <w:tcW w:w="85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w:t>
            </w:r>
          </w:p>
        </w:tc>
      </w:tr>
      <w:tr>
        <w:tblPrEx>
          <w:tblCellMar>
            <w:top w:w="0" w:type="dxa"/>
            <w:left w:w="108" w:type="dxa"/>
            <w:bottom w:w="0" w:type="dxa"/>
            <w:right w:w="108" w:type="dxa"/>
          </w:tblCellMar>
        </w:tblPrEx>
        <w:trPr>
          <w:trHeight w:val="540" w:hRule="atLeast"/>
        </w:trPr>
        <w:tc>
          <w:tcPr>
            <w:tcW w:w="97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ascii="Times New Roman" w:hAnsi="Times New Roman" w:cs="Times New Roman"/>
                <w:sz w:val="21"/>
                <w:szCs w:val="21"/>
              </w:rPr>
              <w:t>检</w:t>
            </w:r>
            <w:r>
              <w:rPr>
                <w:rFonts w:ascii="Times New Roman" w:hAnsi="Times New Roman" w:cs="Times New Roman"/>
                <w:bCs/>
                <w:sz w:val="21"/>
                <w:szCs w:val="21"/>
              </w:rPr>
              <w:t>测</w:t>
            </w:r>
            <w:r>
              <w:rPr>
                <w:rFonts w:ascii="Times New Roman" w:hAnsi="Times New Roman" w:cs="Times New Roman"/>
                <w:sz w:val="21"/>
                <w:szCs w:val="21"/>
              </w:rPr>
              <w:t>限</w:t>
            </w:r>
          </w:p>
        </w:tc>
        <w:tc>
          <w:tcPr>
            <w:tcW w:w="146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0.</w:t>
            </w:r>
            <w:r>
              <w:rPr>
                <w:rFonts w:hint="eastAsia" w:ascii="Times New Roman" w:hAnsi="Times New Roman" w:cs="Times New Roman"/>
                <w:color w:val="000000"/>
                <w:kern w:val="0"/>
                <w:szCs w:val="21"/>
                <w:lang w:bidi="ar"/>
              </w:rPr>
              <w:t>0692</w:t>
            </w:r>
          </w:p>
        </w:tc>
        <w:tc>
          <w:tcPr>
            <w:tcW w:w="746"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5.8</w:t>
            </w:r>
          </w:p>
        </w:tc>
        <w:tc>
          <w:tcPr>
            <w:tcW w:w="96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s="Times New Roman"/>
                <w:color w:val="000000"/>
                <w:sz w:val="21"/>
                <w:szCs w:val="21"/>
              </w:rPr>
            </w:pPr>
            <w:r>
              <w:rPr>
                <w:rFonts w:ascii="Times New Roman" w:hAnsi="Times New Roman" w:cs="Times New Roman"/>
                <w:color w:val="000000"/>
                <w:kern w:val="0"/>
                <w:szCs w:val="21"/>
                <w:lang w:bidi="ar"/>
              </w:rPr>
              <w:t>0.0</w:t>
            </w:r>
            <w:r>
              <w:rPr>
                <w:rFonts w:hint="eastAsia" w:ascii="Times New Roman" w:hAnsi="Times New Roman" w:cs="Times New Roman"/>
                <w:color w:val="000000"/>
                <w:kern w:val="0"/>
                <w:szCs w:val="21"/>
                <w:lang w:bidi="ar"/>
              </w:rPr>
              <w:t>358</w:t>
            </w:r>
          </w:p>
        </w:tc>
        <w:tc>
          <w:tcPr>
            <w:tcW w:w="8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s="Times New Roman"/>
                <w:color w:val="000000"/>
                <w:kern w:val="0"/>
                <w:sz w:val="21"/>
                <w:szCs w:val="21"/>
                <w:lang w:bidi="ar"/>
              </w:rPr>
            </w:pPr>
            <w:r>
              <w:rPr>
                <w:rFonts w:hint="default" w:ascii="Times New Roman" w:hAnsi="Times New Roman" w:cs="Times New Roman"/>
                <w:color w:val="000000"/>
                <w:sz w:val="21"/>
                <w:szCs w:val="21"/>
              </w:rPr>
              <w:t>0.0000</w:t>
            </w:r>
            <w:r>
              <w:rPr>
                <w:rFonts w:hint="eastAsia" w:ascii="Times New Roman" w:hAnsi="Times New Roman" w:cs="Times New Roman"/>
                <w:color w:val="000000"/>
                <w:szCs w:val="21"/>
              </w:rPr>
              <w:t>2</w:t>
            </w:r>
          </w:p>
        </w:tc>
      </w:tr>
      <w:tr>
        <w:tblPrEx>
          <w:tblCellMar>
            <w:top w:w="0" w:type="dxa"/>
            <w:left w:w="108" w:type="dxa"/>
            <w:bottom w:w="0" w:type="dxa"/>
            <w:right w:w="108" w:type="dxa"/>
          </w:tblCellMar>
        </w:tblPrEx>
        <w:trPr>
          <w:trHeight w:val="540" w:hRule="atLeast"/>
        </w:trPr>
        <w:tc>
          <w:tcPr>
            <w:tcW w:w="97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定量限</w:t>
            </w:r>
          </w:p>
        </w:tc>
        <w:tc>
          <w:tcPr>
            <w:tcW w:w="146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0.</w:t>
            </w:r>
            <w:r>
              <w:rPr>
                <w:rFonts w:hint="eastAsia" w:ascii="Times New Roman" w:hAnsi="Times New Roman" w:cs="Times New Roman"/>
                <w:color w:val="000000"/>
                <w:kern w:val="0"/>
                <w:szCs w:val="21"/>
                <w:lang w:bidi="ar"/>
              </w:rPr>
              <w:t>1385</w:t>
            </w:r>
          </w:p>
        </w:tc>
        <w:tc>
          <w:tcPr>
            <w:tcW w:w="746"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14.6</w:t>
            </w:r>
          </w:p>
        </w:tc>
        <w:tc>
          <w:tcPr>
            <w:tcW w:w="96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eastAsia" w:ascii="Times New Roman" w:hAnsi="Times New Roman" w:cs="Times New Roman"/>
                <w:color w:val="000000"/>
                <w:kern w:val="0"/>
                <w:szCs w:val="21"/>
                <w:lang w:bidi="ar"/>
              </w:rPr>
              <w:t>0</w:t>
            </w:r>
            <w:r>
              <w:rPr>
                <w:rFonts w:ascii="Times New Roman" w:hAnsi="Times New Roman" w:cs="Times New Roman"/>
                <w:color w:val="000000"/>
                <w:kern w:val="0"/>
                <w:szCs w:val="21"/>
                <w:lang w:bidi="ar"/>
              </w:rPr>
              <w:t>.</w:t>
            </w:r>
            <w:r>
              <w:rPr>
                <w:rFonts w:hint="eastAsia" w:ascii="Times New Roman" w:hAnsi="Times New Roman" w:cs="Times New Roman"/>
                <w:color w:val="000000"/>
                <w:kern w:val="0"/>
                <w:szCs w:val="21"/>
                <w:lang w:bidi="ar"/>
              </w:rPr>
              <w:t>0949</w:t>
            </w:r>
          </w:p>
        </w:tc>
        <w:tc>
          <w:tcPr>
            <w:tcW w:w="8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sz w:val="21"/>
                <w:szCs w:val="21"/>
              </w:rPr>
              <w:t>0.000</w:t>
            </w:r>
            <w:r>
              <w:rPr>
                <w:rFonts w:hint="eastAsia" w:ascii="Times New Roman" w:hAnsi="Times New Roman" w:cs="Times New Roman"/>
                <w:color w:val="000000"/>
                <w:szCs w:val="21"/>
              </w:rPr>
              <w:t>05</w:t>
            </w:r>
          </w:p>
        </w:tc>
      </w:tr>
      <w:bookmarkEnd w:id="16"/>
    </w:tbl>
    <w:p>
      <w:pPr>
        <w:widowControl w:val="0"/>
        <w:snapToGrid w:val="0"/>
        <w:spacing w:line="360" w:lineRule="auto"/>
        <w:ind w:firstLine="480" w:firstLineChars="200"/>
        <w:jc w:val="both"/>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kern w:val="2"/>
          <w:sz w:val="24"/>
          <w:szCs w:val="24"/>
          <w:lang w:val="en-US" w:eastAsia="zh-CN" w:bidi="ar-SA"/>
        </w:rPr>
        <w:t>2批样品按拟定方法检验，结果均符合规定</w:t>
      </w:r>
      <w:bookmarkStart w:id="17" w:name="_Hlk161352375"/>
      <w:r>
        <w:rPr>
          <w:rFonts w:hint="eastAsia" w:ascii="Times New Roman" w:hAnsi="Times New Roman" w:eastAsia="宋体" w:cs="Times New Roman"/>
          <w:bCs/>
          <w:kern w:val="2"/>
          <w:sz w:val="24"/>
          <w:szCs w:val="24"/>
          <w:lang w:val="en-US" w:eastAsia="zh-CN" w:bidi="ar-SA"/>
        </w:rPr>
        <w:t>（见表10）</w:t>
      </w:r>
      <w:bookmarkEnd w:id="17"/>
      <w:r>
        <w:rPr>
          <w:rFonts w:hint="eastAsia" w:ascii="Times New Roman" w:hAnsi="Times New Roman" w:eastAsia="宋体" w:cs="Times New Roman"/>
          <w:bCs/>
          <w:kern w:val="2"/>
          <w:sz w:val="24"/>
          <w:szCs w:val="24"/>
          <w:lang w:val="en-US" w:eastAsia="zh-CN" w:bidi="ar-SA"/>
        </w:rPr>
        <w:t>。</w:t>
      </w:r>
    </w:p>
    <w:p>
      <w:pPr>
        <w:snapToGrid w:val="0"/>
        <w:spacing w:line="360" w:lineRule="auto"/>
        <w:jc w:val="center"/>
        <w:rPr>
          <w:rFonts w:hint="eastAsia" w:ascii="宋体" w:hAnsi="宋体" w:cs="Times New Roman"/>
          <w:bCs/>
          <w:szCs w:val="21"/>
        </w:rPr>
      </w:pPr>
      <w:r>
        <w:rPr>
          <w:rFonts w:hint="eastAsia" w:ascii="宋体" w:hAnsi="宋体" w:cs="Times New Roman"/>
          <w:bCs/>
          <w:szCs w:val="21"/>
        </w:rPr>
        <w:t>表10</w:t>
      </w:r>
      <w:r>
        <w:rPr>
          <w:rFonts w:ascii="宋体" w:hAnsi="宋体" w:cs="Times New Roman"/>
          <w:bCs/>
          <w:szCs w:val="21"/>
        </w:rPr>
        <w:t xml:space="preserve"> </w:t>
      </w:r>
      <w:r>
        <w:rPr>
          <w:rFonts w:hint="eastAsia" w:ascii="宋体" w:hAnsi="宋体" w:cs="Times New Roman"/>
          <w:bCs/>
          <w:szCs w:val="21"/>
        </w:rPr>
        <w:t xml:space="preserve"> 亚硫酸盐测定结果</w:t>
      </w:r>
    </w:p>
    <w:tbl>
      <w:tblPr>
        <w:tblStyle w:val="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2914"/>
        <w:gridCol w:w="1962"/>
        <w:gridCol w:w="2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序号</w:t>
            </w:r>
          </w:p>
        </w:tc>
        <w:tc>
          <w:tcPr>
            <w:tcW w:w="1708" w:type="pct"/>
            <w:noWrap w:val="0"/>
            <w:vAlign w:val="center"/>
          </w:tcPr>
          <w:p>
            <w:pPr>
              <w:spacing w:line="360" w:lineRule="auto"/>
              <w:jc w:val="center"/>
              <w:rPr>
                <w:rFonts w:ascii="宋体" w:hAnsi="宋体" w:cs="Times New Roman"/>
                <w:szCs w:val="21"/>
              </w:rPr>
            </w:pPr>
            <w:r>
              <w:rPr>
                <w:rFonts w:hint="eastAsia" w:ascii="宋体" w:hAnsi="宋体" w:cs="Times New Roman"/>
                <w:szCs w:val="21"/>
              </w:rPr>
              <w:t>生产企业</w:t>
            </w:r>
          </w:p>
        </w:tc>
        <w:tc>
          <w:tcPr>
            <w:tcW w:w="1150" w:type="pct"/>
            <w:noWrap w:val="0"/>
            <w:vAlign w:val="center"/>
          </w:tcPr>
          <w:p>
            <w:pPr>
              <w:spacing w:line="360" w:lineRule="auto"/>
              <w:jc w:val="center"/>
              <w:rPr>
                <w:rFonts w:ascii="宋体" w:hAnsi="宋体" w:cs="Times New Roman"/>
                <w:szCs w:val="21"/>
              </w:rPr>
            </w:pPr>
            <w:r>
              <w:rPr>
                <w:rFonts w:hint="eastAsia" w:ascii="宋体" w:hAnsi="宋体" w:cs="Times New Roman"/>
                <w:szCs w:val="21"/>
              </w:rPr>
              <w:t>批号</w:t>
            </w:r>
          </w:p>
        </w:tc>
        <w:tc>
          <w:tcPr>
            <w:tcW w:w="1693" w:type="pct"/>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亚硫酸盐（以二氧化硫计）（%）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1</w:t>
            </w:r>
          </w:p>
        </w:tc>
        <w:tc>
          <w:tcPr>
            <w:tcW w:w="1708" w:type="pct"/>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1150" w:type="pct"/>
            <w:noWrap w:val="0"/>
            <w:vAlign w:val="center"/>
          </w:tcPr>
          <w:p>
            <w:pPr>
              <w:widowControl/>
              <w:spacing w:line="360" w:lineRule="auto"/>
              <w:jc w:val="center"/>
              <w:textAlignment w:val="center"/>
              <w:rPr>
                <w:rFonts w:ascii="宋体" w:hAnsi="宋体" w:cs="Times New Roman"/>
                <w:szCs w:val="21"/>
              </w:rPr>
            </w:pPr>
            <w:r>
              <w:rPr>
                <w:rFonts w:hint="eastAsia" w:ascii="宋体" w:hAnsi="宋体" w:cs="Times New Roman"/>
                <w:szCs w:val="21"/>
              </w:rPr>
              <w:t>231108</w:t>
            </w:r>
          </w:p>
        </w:tc>
        <w:tc>
          <w:tcPr>
            <w:tcW w:w="1693" w:type="pct"/>
            <w:noWrap w:val="0"/>
            <w:vAlign w:val="center"/>
          </w:tcPr>
          <w:p>
            <w:pPr>
              <w:widowControl/>
              <w:jc w:val="center"/>
              <w:textAlignment w:val="bottom"/>
              <w:rPr>
                <w:rFonts w:ascii="宋体" w:hAnsi="宋体" w:cs="宋体"/>
                <w:color w:val="000000"/>
                <w:kern w:val="0"/>
                <w:szCs w:val="21"/>
                <w:lang w:bidi="ar"/>
              </w:rPr>
            </w:pPr>
            <w:r>
              <w:rPr>
                <w:rFonts w:hint="eastAsia" w:ascii="宋体" w:hAnsi="宋体" w:cs="宋体"/>
                <w:color w:val="000000"/>
                <w:kern w:val="0"/>
                <w:sz w:val="21"/>
                <w:szCs w:val="21"/>
                <w:lang w:bidi="ar"/>
              </w:rPr>
              <w:t>未检出（检出限0.0000</w:t>
            </w:r>
            <w:r>
              <w:rPr>
                <w:rFonts w:hint="eastAsia" w:ascii="宋体" w:hAnsi="宋体" w:cs="宋体"/>
                <w:color w:val="000000"/>
                <w:kern w:val="0"/>
                <w:szCs w:val="21"/>
                <w:lang w:bidi="ar"/>
              </w:rPr>
              <w:t>2</w:t>
            </w:r>
            <w:r>
              <w:rPr>
                <w:rFonts w:hint="eastAsia" w:ascii="宋体" w:hAnsi="宋体" w:cs="宋体"/>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2</w:t>
            </w:r>
          </w:p>
        </w:tc>
        <w:tc>
          <w:tcPr>
            <w:tcW w:w="1708" w:type="pct"/>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1150" w:type="pct"/>
            <w:noWrap w:val="0"/>
            <w:vAlign w:val="center"/>
          </w:tcPr>
          <w:p>
            <w:pPr>
              <w:widowControl/>
              <w:spacing w:line="360" w:lineRule="auto"/>
              <w:jc w:val="center"/>
              <w:textAlignment w:val="center"/>
              <w:rPr>
                <w:rFonts w:ascii="宋体" w:hAnsi="宋体" w:cs="Times New Roman"/>
                <w:szCs w:val="21"/>
              </w:rPr>
            </w:pPr>
            <w:r>
              <w:rPr>
                <w:rFonts w:hint="eastAsia" w:ascii="宋体" w:hAnsi="宋体" w:cs="Times New Roman"/>
                <w:szCs w:val="21"/>
              </w:rPr>
              <w:t>240104</w:t>
            </w:r>
          </w:p>
        </w:tc>
        <w:tc>
          <w:tcPr>
            <w:tcW w:w="1693" w:type="pct"/>
            <w:noWrap w:val="0"/>
            <w:vAlign w:val="center"/>
          </w:tcPr>
          <w:p>
            <w:pPr>
              <w:widowControl/>
              <w:jc w:val="center"/>
              <w:textAlignment w:val="bottom"/>
              <w:rPr>
                <w:rFonts w:ascii="宋体" w:hAnsi="宋体" w:cs="宋体"/>
                <w:color w:val="000000"/>
                <w:kern w:val="0"/>
                <w:szCs w:val="21"/>
                <w:lang w:bidi="ar"/>
              </w:rPr>
            </w:pPr>
            <w:r>
              <w:rPr>
                <w:rFonts w:hint="eastAsia" w:ascii="宋体" w:hAnsi="宋体" w:cs="宋体"/>
                <w:color w:val="000000"/>
                <w:kern w:val="0"/>
                <w:sz w:val="21"/>
                <w:szCs w:val="21"/>
                <w:lang w:bidi="ar"/>
              </w:rPr>
              <w:t>未检出（检出限0.0000</w:t>
            </w:r>
            <w:r>
              <w:rPr>
                <w:rFonts w:hint="eastAsia" w:ascii="宋体" w:hAnsi="宋体" w:cs="宋体"/>
                <w:color w:val="000000"/>
                <w:kern w:val="0"/>
                <w:szCs w:val="21"/>
                <w:lang w:bidi="ar"/>
              </w:rPr>
              <w:t>2</w:t>
            </w:r>
            <w:r>
              <w:rPr>
                <w:rFonts w:hint="eastAsia" w:ascii="宋体" w:hAnsi="宋体" w:cs="宋体"/>
                <w:color w:val="000000"/>
                <w:kern w:val="0"/>
                <w:sz w:val="21"/>
                <w:szCs w:val="21"/>
                <w:lang w:bidi="ar"/>
              </w:rPr>
              <w:t>%）</w:t>
            </w:r>
          </w:p>
        </w:tc>
      </w:tr>
    </w:tbl>
    <w:p>
      <w:pPr>
        <w:snapToGrid w:val="0"/>
        <w:spacing w:line="360" w:lineRule="auto"/>
        <w:rPr>
          <w:rFonts w:ascii="Times New Roman" w:hAnsi="Times New Roman" w:cs="Times New Roman"/>
          <w:b/>
          <w:bCs/>
          <w:sz w:val="24"/>
          <w:szCs w:val="24"/>
        </w:rPr>
      </w:pPr>
    </w:p>
    <w:p>
      <w:pPr>
        <w:snapToGrid w:val="0"/>
        <w:spacing w:line="360" w:lineRule="auto"/>
        <w:ind w:firstLine="482" w:firstLineChars="200"/>
        <w:outlineLvl w:val="3"/>
        <w:rPr>
          <w:rFonts w:ascii="Times New Roman" w:hAnsi="Times New Roman" w:cs="Times New Roman"/>
          <w:b/>
          <w:bCs/>
          <w:sz w:val="24"/>
          <w:szCs w:val="24"/>
        </w:rPr>
      </w:pPr>
      <w:r>
        <w:rPr>
          <w:rFonts w:ascii="Times New Roman" w:hAnsi="Times New Roman" w:cs="Times New Roman"/>
          <w:b/>
          <w:bCs/>
          <w:sz w:val="24"/>
          <w:szCs w:val="24"/>
        </w:rPr>
        <w:t>2.3.</w:t>
      </w:r>
      <w:r>
        <w:rPr>
          <w:rFonts w:hint="eastAsia" w:ascii="Times New Roman" w:hAnsi="Times New Roman" w:cs="Times New Roman"/>
          <w:b/>
          <w:bCs/>
          <w:sz w:val="24"/>
          <w:szCs w:val="24"/>
        </w:rPr>
        <w:t xml:space="preserve">4干燥失重 </w:t>
      </w:r>
    </w:p>
    <w:p>
      <w:pPr>
        <w:snapToGrid w:val="0"/>
        <w:spacing w:line="360" w:lineRule="auto"/>
        <w:ind w:firstLine="480" w:firstLineChars="200"/>
        <w:rPr>
          <w:rFonts w:hint="eastAsia" w:ascii="Times New Roman" w:hAnsi="Times New Roman" w:cs="Times New Roman"/>
          <w:bCs/>
          <w:sz w:val="24"/>
          <w:szCs w:val="24"/>
        </w:rPr>
      </w:pPr>
      <w:r>
        <w:rPr>
          <w:rFonts w:hint="eastAsia" w:ascii="Times New Roman" w:hAnsi="Times New Roman" w:cs="Times New Roman"/>
          <w:bCs/>
          <w:sz w:val="24"/>
          <w:szCs w:val="24"/>
        </w:rPr>
        <w:t>蔗糖水分含量过高时，会产生结块现象，影响质量，因此拟订了干燥失重的检测方法。拟定方法见标准正文。2批样品按拟定方法检验，结果见表1</w:t>
      </w:r>
      <w:r>
        <w:rPr>
          <w:rFonts w:ascii="Times New Roman" w:hAnsi="Times New Roman" w:cs="Times New Roman"/>
          <w:bCs/>
          <w:sz w:val="24"/>
          <w:szCs w:val="24"/>
        </w:rPr>
        <w:t>1</w:t>
      </w:r>
      <w:r>
        <w:rPr>
          <w:rFonts w:hint="eastAsia" w:ascii="Times New Roman" w:hAnsi="Times New Roman" w:cs="Times New Roman"/>
          <w:bCs/>
          <w:sz w:val="24"/>
          <w:szCs w:val="24"/>
        </w:rPr>
        <w:t>。</w:t>
      </w:r>
    </w:p>
    <w:p>
      <w:pPr>
        <w:snapToGrid w:val="0"/>
        <w:spacing w:line="360" w:lineRule="auto"/>
        <w:jc w:val="center"/>
        <w:rPr>
          <w:rFonts w:hint="eastAsia" w:ascii="宋体" w:hAnsi="宋体" w:cs="Times New Roman"/>
          <w:bCs/>
          <w:szCs w:val="21"/>
        </w:rPr>
      </w:pPr>
      <w:r>
        <w:rPr>
          <w:rFonts w:hint="eastAsia" w:ascii="宋体" w:hAnsi="宋体" w:cs="Times New Roman"/>
          <w:bCs/>
          <w:szCs w:val="21"/>
        </w:rPr>
        <w:t xml:space="preserve">表11 </w:t>
      </w:r>
      <w:r>
        <w:rPr>
          <w:rFonts w:ascii="宋体" w:hAnsi="宋体" w:cs="Times New Roman"/>
          <w:bCs/>
          <w:szCs w:val="21"/>
        </w:rPr>
        <w:t xml:space="preserve"> </w:t>
      </w:r>
      <w:r>
        <w:rPr>
          <w:rFonts w:hint="eastAsia" w:ascii="宋体" w:hAnsi="宋体" w:cs="Times New Roman"/>
          <w:bCs/>
          <w:szCs w:val="21"/>
        </w:rPr>
        <w:t>干燥失重测定结果</w:t>
      </w:r>
    </w:p>
    <w:tbl>
      <w:tblPr>
        <w:tblStyle w:val="2"/>
        <w:tblW w:w="8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3495"/>
        <w:gridCol w:w="1825"/>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序号</w:t>
            </w:r>
          </w:p>
        </w:tc>
        <w:tc>
          <w:tcPr>
            <w:tcW w:w="3495" w:type="dxa"/>
            <w:noWrap w:val="0"/>
            <w:vAlign w:val="center"/>
          </w:tcPr>
          <w:p>
            <w:pPr>
              <w:spacing w:line="360" w:lineRule="auto"/>
              <w:jc w:val="center"/>
              <w:rPr>
                <w:rFonts w:ascii="宋体" w:hAnsi="宋体" w:cs="Times New Roman"/>
                <w:szCs w:val="21"/>
              </w:rPr>
            </w:pPr>
            <w:r>
              <w:rPr>
                <w:rFonts w:hint="eastAsia" w:ascii="宋体" w:hAnsi="宋体" w:cs="Times New Roman"/>
                <w:szCs w:val="21"/>
              </w:rPr>
              <w:t>生产企业</w:t>
            </w:r>
          </w:p>
        </w:tc>
        <w:tc>
          <w:tcPr>
            <w:tcW w:w="1825" w:type="dxa"/>
            <w:noWrap w:val="0"/>
            <w:vAlign w:val="center"/>
          </w:tcPr>
          <w:p>
            <w:pPr>
              <w:spacing w:line="360" w:lineRule="auto"/>
              <w:jc w:val="center"/>
              <w:rPr>
                <w:rFonts w:ascii="宋体" w:hAnsi="宋体" w:cs="Times New Roman"/>
                <w:szCs w:val="21"/>
              </w:rPr>
            </w:pPr>
            <w:r>
              <w:rPr>
                <w:rFonts w:hint="eastAsia" w:ascii="宋体" w:hAnsi="宋体" w:cs="Times New Roman"/>
                <w:szCs w:val="21"/>
              </w:rPr>
              <w:t>批号</w:t>
            </w:r>
          </w:p>
        </w:tc>
        <w:tc>
          <w:tcPr>
            <w:tcW w:w="2131" w:type="dxa"/>
            <w:noWrap w:val="0"/>
            <w:vAlign w:val="center"/>
          </w:tcPr>
          <w:p>
            <w:pPr>
              <w:spacing w:line="360" w:lineRule="auto"/>
              <w:jc w:val="center"/>
              <w:rPr>
                <w:rFonts w:ascii="宋体" w:hAnsi="宋体" w:cs="Times New Roman"/>
                <w:szCs w:val="21"/>
              </w:rPr>
            </w:pPr>
            <w:r>
              <w:rPr>
                <w:rFonts w:hint="eastAsia" w:ascii="宋体" w:hAnsi="宋体" w:cs="Times New Roman"/>
                <w:szCs w:val="21"/>
              </w:rPr>
              <w:t>干燥失重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1</w:t>
            </w:r>
          </w:p>
        </w:tc>
        <w:tc>
          <w:tcPr>
            <w:tcW w:w="3495" w:type="dxa"/>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1825" w:type="dxa"/>
            <w:noWrap w:val="0"/>
            <w:vAlign w:val="center"/>
          </w:tcPr>
          <w:p>
            <w:pPr>
              <w:widowControl/>
              <w:spacing w:line="360" w:lineRule="auto"/>
              <w:jc w:val="center"/>
              <w:textAlignment w:val="center"/>
              <w:rPr>
                <w:rFonts w:ascii="宋体" w:hAnsi="宋体" w:cs="Times New Roman"/>
                <w:szCs w:val="21"/>
              </w:rPr>
            </w:pPr>
            <w:r>
              <w:rPr>
                <w:rFonts w:hint="eastAsia" w:ascii="宋体" w:hAnsi="宋体" w:cs="Times New Roman"/>
                <w:szCs w:val="21"/>
              </w:rPr>
              <w:t>231108</w:t>
            </w:r>
          </w:p>
        </w:tc>
        <w:tc>
          <w:tcPr>
            <w:tcW w:w="2131" w:type="dxa"/>
            <w:noWrap w:val="0"/>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0.2</w:t>
            </w:r>
            <w:r>
              <w:rPr>
                <w:rFonts w:hint="eastAsia" w:ascii="宋体" w:hAnsi="宋体" w:cs="宋体"/>
                <w:color w:val="000000"/>
                <w:kern w:val="0"/>
                <w:sz w:val="21"/>
                <w:szCs w:val="21"/>
                <w:lang w:bidi="ar"/>
              </w:rPr>
              <w:t>%</w:t>
            </w:r>
            <w:r>
              <w:rPr>
                <w:rFonts w:hint="eastAsia" w:ascii="宋体" w:hAnsi="宋体" w:cs="宋体"/>
                <w:color w:val="000000"/>
                <w:kern w:val="0"/>
                <w:szCs w:val="21"/>
                <w:lang w:bidi="ar"/>
              </w:rPr>
              <w:t>（不符合规定）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2</w:t>
            </w:r>
          </w:p>
        </w:tc>
        <w:tc>
          <w:tcPr>
            <w:tcW w:w="3495" w:type="dxa"/>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1825" w:type="dxa"/>
            <w:noWrap w:val="0"/>
            <w:vAlign w:val="center"/>
          </w:tcPr>
          <w:p>
            <w:pPr>
              <w:widowControl/>
              <w:spacing w:line="360" w:lineRule="auto"/>
              <w:jc w:val="center"/>
              <w:textAlignment w:val="center"/>
              <w:rPr>
                <w:rFonts w:ascii="宋体" w:hAnsi="宋体" w:cs="Times New Roman"/>
                <w:szCs w:val="21"/>
              </w:rPr>
            </w:pPr>
            <w:r>
              <w:rPr>
                <w:rFonts w:hint="eastAsia" w:ascii="宋体" w:hAnsi="宋体" w:cs="Times New Roman"/>
                <w:szCs w:val="21"/>
              </w:rPr>
              <w:t>240104</w:t>
            </w:r>
          </w:p>
        </w:tc>
        <w:tc>
          <w:tcPr>
            <w:tcW w:w="2131" w:type="dxa"/>
            <w:noWrap w:val="0"/>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highlight w:val="none"/>
                <w:lang w:bidi="ar"/>
              </w:rPr>
              <w:t>0.1</w:t>
            </w:r>
            <w:r>
              <w:rPr>
                <w:rFonts w:hint="eastAsia" w:ascii="宋体" w:hAnsi="宋体" w:cs="宋体"/>
                <w:color w:val="000000"/>
                <w:kern w:val="0"/>
                <w:sz w:val="21"/>
                <w:szCs w:val="21"/>
                <w:lang w:bidi="ar"/>
              </w:rPr>
              <w:t>%</w:t>
            </w:r>
          </w:p>
        </w:tc>
      </w:tr>
    </w:tbl>
    <w:p>
      <w:pPr>
        <w:snapToGrid w:val="0"/>
        <w:spacing w:line="360" w:lineRule="auto"/>
        <w:rPr>
          <w:rFonts w:hint="eastAsia" w:ascii="Times New Roman" w:hAnsi="Times New Roman" w:cs="Times New Roman"/>
          <w:bCs/>
          <w:sz w:val="24"/>
          <w:szCs w:val="24"/>
        </w:rPr>
      </w:pPr>
    </w:p>
    <w:p>
      <w:pPr>
        <w:snapToGrid w:val="0"/>
        <w:spacing w:line="360" w:lineRule="auto"/>
        <w:ind w:firstLine="482" w:firstLineChars="200"/>
        <w:outlineLvl w:val="3"/>
        <w:rPr>
          <w:rFonts w:ascii="Times New Roman" w:hAnsi="Times New Roman" w:cs="Times New Roman"/>
          <w:b/>
          <w:bCs/>
          <w:sz w:val="24"/>
          <w:szCs w:val="24"/>
        </w:rPr>
      </w:pPr>
      <w:r>
        <w:rPr>
          <w:rFonts w:hint="eastAsia" w:ascii="Times New Roman" w:hAnsi="Times New Roman" w:cs="Times New Roman"/>
          <w:b/>
          <w:bCs/>
          <w:sz w:val="24"/>
          <w:szCs w:val="24"/>
        </w:rPr>
        <w:t xml:space="preserve">2.3.5炽灼残渣  </w:t>
      </w:r>
    </w:p>
    <w:p>
      <w:pPr>
        <w:snapToGrid w:val="0"/>
        <w:spacing w:line="360" w:lineRule="auto"/>
        <w:ind w:firstLine="480" w:firstLineChars="200"/>
        <w:rPr>
          <w:rFonts w:hint="eastAsia" w:ascii="Times New Roman" w:hAnsi="Times New Roman" w:cs="Times New Roman"/>
          <w:bCs/>
          <w:sz w:val="24"/>
          <w:szCs w:val="24"/>
        </w:rPr>
      </w:pPr>
      <w:r>
        <w:rPr>
          <w:rFonts w:hint="eastAsia" w:ascii="Times New Roman" w:hAnsi="Times New Roman" w:cs="Times New Roman"/>
          <w:bCs/>
          <w:sz w:val="24"/>
          <w:szCs w:val="24"/>
        </w:rPr>
        <w:t>拟定方法见标准正文。2批样品按拟定方法检验，均符合规定（见表1</w:t>
      </w:r>
      <w:r>
        <w:rPr>
          <w:rFonts w:ascii="Times New Roman" w:hAnsi="Times New Roman" w:cs="Times New Roman"/>
          <w:bCs/>
          <w:sz w:val="24"/>
          <w:szCs w:val="24"/>
        </w:rPr>
        <w:t>2</w:t>
      </w:r>
      <w:r>
        <w:rPr>
          <w:rFonts w:hint="eastAsia" w:ascii="Times New Roman" w:hAnsi="Times New Roman" w:cs="Times New Roman"/>
          <w:bCs/>
          <w:sz w:val="24"/>
          <w:szCs w:val="24"/>
        </w:rPr>
        <w:t>）。</w:t>
      </w:r>
    </w:p>
    <w:p>
      <w:pPr>
        <w:snapToGrid w:val="0"/>
        <w:spacing w:line="360" w:lineRule="auto"/>
        <w:jc w:val="center"/>
        <w:rPr>
          <w:rFonts w:hint="eastAsia" w:ascii="宋体" w:hAnsi="宋体" w:cs="Times New Roman"/>
          <w:bCs/>
          <w:szCs w:val="21"/>
        </w:rPr>
      </w:pPr>
      <w:r>
        <w:rPr>
          <w:rFonts w:hint="eastAsia" w:ascii="宋体" w:hAnsi="宋体" w:cs="Times New Roman"/>
          <w:bCs/>
          <w:szCs w:val="21"/>
        </w:rPr>
        <w:t xml:space="preserve">表12 </w:t>
      </w:r>
      <w:r>
        <w:rPr>
          <w:rFonts w:ascii="宋体" w:hAnsi="宋体" w:cs="Times New Roman"/>
          <w:bCs/>
          <w:szCs w:val="21"/>
        </w:rPr>
        <w:t xml:space="preserve"> </w:t>
      </w:r>
      <w:r>
        <w:rPr>
          <w:rFonts w:hint="eastAsia" w:ascii="宋体" w:hAnsi="宋体" w:cs="Times New Roman"/>
          <w:bCs/>
          <w:szCs w:val="21"/>
        </w:rPr>
        <w:t>炽灼残渣测定结果</w:t>
      </w:r>
    </w:p>
    <w:tbl>
      <w:tblPr>
        <w:tblStyle w:val="2"/>
        <w:tblW w:w="8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3717"/>
        <w:gridCol w:w="1867"/>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序号</w:t>
            </w:r>
          </w:p>
        </w:tc>
        <w:tc>
          <w:tcPr>
            <w:tcW w:w="3717" w:type="dxa"/>
            <w:noWrap w:val="0"/>
            <w:vAlign w:val="center"/>
          </w:tcPr>
          <w:p>
            <w:pPr>
              <w:spacing w:line="360" w:lineRule="auto"/>
              <w:jc w:val="center"/>
              <w:rPr>
                <w:rFonts w:ascii="宋体" w:hAnsi="宋体" w:cs="Times New Roman"/>
                <w:szCs w:val="21"/>
              </w:rPr>
            </w:pPr>
            <w:r>
              <w:rPr>
                <w:rFonts w:hint="eastAsia" w:ascii="宋体" w:hAnsi="宋体" w:cs="Times New Roman"/>
                <w:szCs w:val="21"/>
              </w:rPr>
              <w:t>生产企业</w:t>
            </w:r>
          </w:p>
        </w:tc>
        <w:tc>
          <w:tcPr>
            <w:tcW w:w="1867" w:type="dxa"/>
            <w:noWrap w:val="0"/>
            <w:vAlign w:val="center"/>
          </w:tcPr>
          <w:p>
            <w:pPr>
              <w:spacing w:line="360" w:lineRule="auto"/>
              <w:jc w:val="center"/>
              <w:rPr>
                <w:rFonts w:ascii="宋体" w:hAnsi="宋体" w:cs="Times New Roman"/>
                <w:szCs w:val="21"/>
              </w:rPr>
            </w:pPr>
            <w:r>
              <w:rPr>
                <w:rFonts w:hint="eastAsia" w:ascii="宋体" w:hAnsi="宋体" w:cs="Times New Roman"/>
                <w:szCs w:val="21"/>
              </w:rPr>
              <w:t>批号</w:t>
            </w:r>
          </w:p>
        </w:tc>
        <w:tc>
          <w:tcPr>
            <w:tcW w:w="1867" w:type="dxa"/>
            <w:noWrap w:val="0"/>
            <w:vAlign w:val="center"/>
          </w:tcPr>
          <w:p>
            <w:pPr>
              <w:spacing w:line="360" w:lineRule="auto"/>
              <w:jc w:val="center"/>
              <w:rPr>
                <w:rFonts w:ascii="宋体" w:hAnsi="宋体" w:cs="Times New Roman"/>
                <w:szCs w:val="21"/>
              </w:rPr>
            </w:pPr>
            <w:r>
              <w:rPr>
                <w:rFonts w:hint="eastAsia" w:ascii="宋体" w:hAnsi="宋体" w:cs="Times New Roman"/>
                <w:szCs w:val="21"/>
              </w:rPr>
              <w:t>炽灼残渣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1</w:t>
            </w:r>
          </w:p>
        </w:tc>
        <w:tc>
          <w:tcPr>
            <w:tcW w:w="3717" w:type="dxa"/>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1867" w:type="dxa"/>
            <w:noWrap w:val="0"/>
            <w:vAlign w:val="center"/>
          </w:tcPr>
          <w:p>
            <w:pPr>
              <w:widowControl/>
              <w:spacing w:line="360" w:lineRule="auto"/>
              <w:jc w:val="center"/>
              <w:textAlignment w:val="center"/>
              <w:rPr>
                <w:rFonts w:ascii="宋体" w:hAnsi="宋体" w:cs="Times New Roman"/>
                <w:szCs w:val="21"/>
              </w:rPr>
            </w:pPr>
            <w:r>
              <w:rPr>
                <w:rFonts w:hint="eastAsia" w:ascii="宋体" w:hAnsi="宋体" w:cs="Times New Roman"/>
                <w:szCs w:val="21"/>
              </w:rPr>
              <w:t>231108</w:t>
            </w:r>
          </w:p>
        </w:tc>
        <w:tc>
          <w:tcPr>
            <w:tcW w:w="1867" w:type="dxa"/>
            <w:noWrap w:val="0"/>
            <w:vAlign w:val="center"/>
          </w:tcPr>
          <w:p>
            <w:pPr>
              <w:widowControl/>
              <w:jc w:val="center"/>
              <w:textAlignment w:val="bottom"/>
              <w:rPr>
                <w:rFonts w:ascii="宋体" w:hAnsi="宋体" w:cs="宋体"/>
                <w:color w:val="000000"/>
                <w:kern w:val="0"/>
                <w:szCs w:val="21"/>
                <w:lang w:bidi="ar"/>
              </w:rPr>
            </w:pPr>
            <w:r>
              <w:rPr>
                <w:rFonts w:hint="eastAsia" w:ascii="宋体" w:hAnsi="宋体" w:cs="宋体"/>
                <w:color w:val="000000"/>
                <w:kern w:val="0"/>
                <w:sz w:val="21"/>
                <w:szCs w:val="21"/>
                <w:lang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2</w:t>
            </w:r>
          </w:p>
        </w:tc>
        <w:tc>
          <w:tcPr>
            <w:tcW w:w="3717" w:type="dxa"/>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1867" w:type="dxa"/>
            <w:noWrap w:val="0"/>
            <w:vAlign w:val="center"/>
          </w:tcPr>
          <w:p>
            <w:pPr>
              <w:widowControl/>
              <w:spacing w:line="360" w:lineRule="auto"/>
              <w:jc w:val="center"/>
              <w:textAlignment w:val="center"/>
              <w:rPr>
                <w:rFonts w:ascii="宋体" w:hAnsi="宋体" w:cs="Times New Roman"/>
                <w:szCs w:val="21"/>
              </w:rPr>
            </w:pPr>
            <w:r>
              <w:rPr>
                <w:rFonts w:hint="eastAsia" w:ascii="宋体" w:hAnsi="宋体" w:cs="Times New Roman"/>
                <w:szCs w:val="21"/>
              </w:rPr>
              <w:t>240104</w:t>
            </w:r>
          </w:p>
        </w:tc>
        <w:tc>
          <w:tcPr>
            <w:tcW w:w="1867" w:type="dxa"/>
            <w:noWrap w:val="0"/>
            <w:vAlign w:val="center"/>
          </w:tcPr>
          <w:p>
            <w:pPr>
              <w:widowControl/>
              <w:jc w:val="center"/>
              <w:textAlignment w:val="bottom"/>
              <w:rPr>
                <w:rFonts w:ascii="宋体" w:hAnsi="宋体" w:cs="宋体"/>
                <w:color w:val="000000"/>
                <w:kern w:val="0"/>
                <w:szCs w:val="21"/>
                <w:lang w:bidi="ar"/>
              </w:rPr>
            </w:pPr>
            <w:r>
              <w:rPr>
                <w:rFonts w:hint="eastAsia" w:ascii="宋体" w:hAnsi="宋体" w:cs="宋体"/>
                <w:color w:val="000000"/>
                <w:kern w:val="0"/>
                <w:sz w:val="21"/>
                <w:szCs w:val="21"/>
                <w:lang w:bidi="ar"/>
              </w:rPr>
              <w:t>0.04%</w:t>
            </w:r>
          </w:p>
        </w:tc>
      </w:tr>
    </w:tbl>
    <w:p>
      <w:pPr>
        <w:snapToGrid w:val="0"/>
        <w:spacing w:line="360" w:lineRule="auto"/>
        <w:rPr>
          <w:rFonts w:hint="eastAsia" w:ascii="Times New Roman" w:hAnsi="Times New Roman" w:cs="Times New Roman"/>
          <w:bCs/>
          <w:sz w:val="24"/>
          <w:szCs w:val="24"/>
        </w:rPr>
      </w:pPr>
    </w:p>
    <w:p>
      <w:pPr>
        <w:snapToGrid w:val="0"/>
        <w:spacing w:line="360" w:lineRule="auto"/>
        <w:ind w:firstLine="482" w:firstLineChars="200"/>
        <w:outlineLvl w:val="3"/>
        <w:rPr>
          <w:rFonts w:ascii="Times New Roman" w:hAnsi="Times New Roman" w:cs="Times New Roman"/>
          <w:b/>
          <w:bCs/>
          <w:sz w:val="24"/>
          <w:szCs w:val="24"/>
        </w:rPr>
      </w:pPr>
      <w:r>
        <w:rPr>
          <w:rFonts w:hint="eastAsia" w:ascii="Times New Roman" w:hAnsi="Times New Roman" w:cs="Times New Roman"/>
          <w:b/>
          <w:bCs/>
          <w:sz w:val="24"/>
          <w:szCs w:val="24"/>
        </w:rPr>
        <w:t xml:space="preserve">2.3.6重金属 </w:t>
      </w:r>
    </w:p>
    <w:p>
      <w:pPr>
        <w:snapToGrid w:val="0"/>
        <w:spacing w:line="360" w:lineRule="auto"/>
        <w:ind w:firstLine="480" w:firstLineChars="200"/>
        <w:rPr>
          <w:rFonts w:hint="eastAsia" w:ascii="Times New Roman" w:hAnsi="Times New Roman" w:cs="Times New Roman"/>
          <w:bCs/>
          <w:sz w:val="24"/>
          <w:szCs w:val="24"/>
        </w:rPr>
      </w:pPr>
      <w:r>
        <w:rPr>
          <w:rFonts w:hint="eastAsia" w:ascii="Times New Roman" w:hAnsi="Times New Roman" w:cs="Times New Roman"/>
          <w:bCs/>
          <w:sz w:val="24"/>
          <w:szCs w:val="24"/>
        </w:rPr>
        <w:t>蔗糖在种植和生产过程中有可能会引入重金属杂质污染，因此拟订重金属检查项，</w:t>
      </w:r>
      <w:bookmarkStart w:id="18" w:name="_Hlk161352512"/>
      <w:r>
        <w:rPr>
          <w:rFonts w:hint="eastAsia" w:ascii="Times New Roman" w:hAnsi="Times New Roman" w:cs="Times New Roman"/>
          <w:bCs/>
          <w:sz w:val="24"/>
          <w:szCs w:val="24"/>
        </w:rPr>
        <w:t>拟定方法见标准正文。</w:t>
      </w:r>
      <w:bookmarkEnd w:id="18"/>
      <w:r>
        <w:rPr>
          <w:rFonts w:hint="eastAsia" w:ascii="Times New Roman" w:hAnsi="Times New Roman" w:cs="Times New Roman"/>
          <w:bCs/>
          <w:sz w:val="24"/>
          <w:szCs w:val="24"/>
        </w:rPr>
        <w:t>2批样品按拟定方法检验，均符合规定。</w:t>
      </w:r>
      <w:bookmarkStart w:id="19" w:name="_GoBack"/>
      <w:bookmarkEnd w:id="19"/>
    </w:p>
    <w:p>
      <w:pPr>
        <w:snapToGrid w:val="0"/>
        <w:spacing w:line="360" w:lineRule="auto"/>
        <w:rPr>
          <w:rFonts w:ascii="Times New Roman" w:hAnsi="Times New Roman" w:cs="Times New Roman"/>
          <w:bCs/>
          <w:sz w:val="24"/>
          <w:szCs w:val="24"/>
        </w:rPr>
      </w:pPr>
    </w:p>
    <w:p/>
    <w:sectPr>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dhY2Q5NmQyZTZiYWE2MGRjOTZjNmU1YTE4Njg5YzQifQ=="/>
  </w:docVars>
  <w:rsids>
    <w:rsidRoot w:val="00000000"/>
    <w:rsid w:val="02F63D76"/>
    <w:rsid w:val="0BE04A65"/>
    <w:rsid w:val="0CCD658D"/>
    <w:rsid w:val="3ABD5DEE"/>
    <w:rsid w:val="548F2152"/>
    <w:rsid w:val="6A9F756E"/>
    <w:rsid w:val="6FDC20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NormalIndent"/>
    <w:autoRedefine/>
    <w:qFormat/>
    <w:uiPriority w:val="0"/>
    <w:pPr>
      <w:widowControl w:val="0"/>
      <w:adjustRightInd w:val="0"/>
      <w:spacing w:line="312" w:lineRule="atLeast"/>
      <w:ind w:firstLine="200" w:firstLineChars="200"/>
      <w:jc w:val="both"/>
    </w:pPr>
    <w:rPr>
      <w:rFonts w:ascii="Calibri" w:hAnsi="Calibri" w:eastAsia="宋体" w:cs="Times New Roman"/>
      <w:sz w:val="28"/>
      <w:lang w:val="en-US" w:eastAsia="zh-CN" w:bidi="ar-SA"/>
    </w:r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40</Words>
  <Characters>45</Characters>
  <Lines>0</Lines>
  <Paragraphs>0</Paragraphs>
  <TotalTime>0</TotalTime>
  <ScaleCrop>false</ScaleCrop>
  <LinksUpToDate>false</LinksUpToDate>
  <CharactersWithSpaces>45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2024-05-29T09:00:00Z</dcterms:created>
  <dc:creator>gx</dc:creator>
  <cp:lastModifiedBy>远航</cp:lastModifiedBy>
  <dcterms:modified xsi:type="dcterms:W3CDTF">2024-05-29T09:25:30Z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2E61FFF85D894117A613E9A2F0AAEDD7_12</vt:lpwstr>
  </property>
</Properties>
</file>